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2"/>
        <w:rPr>
          <w:rFonts w:hint="eastAsia" w:ascii="华文中宋" w:hAnsi="华文中宋" w:eastAsia="华文中宋" w:cs="宋体"/>
          <w:bCs/>
          <w:color w:val="000000" w:themeColor="text1"/>
          <w:kern w:val="0"/>
          <w:sz w:val="32"/>
          <w:szCs w:val="32"/>
          <w:lang w:val="en-US" w:eastAsia="zh-CN"/>
        </w:rPr>
      </w:pPr>
      <w:r>
        <w:rPr>
          <w:rFonts w:hint="eastAsia" w:ascii="华文中宋" w:hAnsi="华文中宋" w:eastAsia="华文中宋"/>
          <w:color w:val="000000" w:themeColor="text1"/>
          <w:sz w:val="32"/>
          <w:szCs w:val="32"/>
        </w:rPr>
        <w:t>“食品安全初步筛查管理规定”反馈意见的采纳情况</w:t>
      </w:r>
      <w:r>
        <w:rPr>
          <w:rFonts w:hint="eastAsia" w:ascii="华文中宋" w:hAnsi="华文中宋" w:eastAsia="华文中宋"/>
          <w:color w:val="000000" w:themeColor="text1"/>
          <w:sz w:val="32"/>
          <w:szCs w:val="32"/>
          <w:lang w:val="en-US" w:eastAsia="zh-CN"/>
        </w:rPr>
        <w:t>（第一轮）</w:t>
      </w:r>
    </w:p>
    <w:tbl>
      <w:tblPr>
        <w:tblStyle w:val="6"/>
        <w:tblW w:w="143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52"/>
        <w:gridCol w:w="1532"/>
        <w:gridCol w:w="7830"/>
        <w:gridCol w:w="1065"/>
        <w:gridCol w:w="3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90" w:hRule="atLeast"/>
          <w:jc w:val="center"/>
        </w:trPr>
        <w:tc>
          <w:tcPr>
            <w:tcW w:w="652" w:type="dxa"/>
            <w:shd w:val="clear" w:color="auto" w:fill="FFFFFF"/>
            <w:tcMar>
              <w:top w:w="0" w:type="dxa"/>
              <w:left w:w="108" w:type="dxa"/>
              <w:bottom w:w="0" w:type="dxa"/>
              <w:right w:w="108" w:type="dxa"/>
            </w:tcMar>
            <w:vAlign w:val="center"/>
          </w:tcPr>
          <w:p>
            <w:pPr>
              <w:widowControl/>
              <w:spacing w:line="360" w:lineRule="exact"/>
              <w:jc w:val="center"/>
              <w:rPr>
                <w:rFonts w:ascii="楷体" w:hAnsi="楷体" w:eastAsia="楷体" w:cs="宋体"/>
                <w:b/>
                <w:color w:val="040404"/>
                <w:kern w:val="0"/>
                <w:sz w:val="24"/>
                <w:szCs w:val="24"/>
              </w:rPr>
            </w:pPr>
            <w:r>
              <w:rPr>
                <w:rFonts w:hint="eastAsia" w:ascii="楷体" w:hAnsi="楷体" w:eastAsia="楷体" w:cs="宋体"/>
                <w:b/>
                <w:color w:val="040404"/>
                <w:kern w:val="0"/>
                <w:sz w:val="24"/>
                <w:szCs w:val="24"/>
              </w:rPr>
              <w:t>序号</w:t>
            </w:r>
          </w:p>
        </w:tc>
        <w:tc>
          <w:tcPr>
            <w:tcW w:w="1532" w:type="dxa"/>
            <w:shd w:val="clear" w:color="auto" w:fill="FFFFFF"/>
            <w:tcMar>
              <w:top w:w="0" w:type="dxa"/>
              <w:left w:w="108" w:type="dxa"/>
              <w:bottom w:w="0" w:type="dxa"/>
              <w:right w:w="108" w:type="dxa"/>
            </w:tcMar>
            <w:vAlign w:val="center"/>
          </w:tcPr>
          <w:p>
            <w:pPr>
              <w:widowControl/>
              <w:spacing w:line="360" w:lineRule="exact"/>
              <w:jc w:val="center"/>
              <w:rPr>
                <w:rFonts w:ascii="楷体" w:hAnsi="楷体" w:eastAsia="楷体" w:cs="宋体"/>
                <w:b/>
                <w:color w:val="040404"/>
                <w:kern w:val="0"/>
                <w:sz w:val="24"/>
                <w:szCs w:val="24"/>
              </w:rPr>
            </w:pPr>
            <w:r>
              <w:rPr>
                <w:rFonts w:hint="eastAsia" w:ascii="楷体" w:hAnsi="楷体" w:eastAsia="楷体" w:cs="宋体"/>
                <w:b/>
                <w:color w:val="040404"/>
                <w:kern w:val="0"/>
                <w:sz w:val="24"/>
                <w:szCs w:val="24"/>
              </w:rPr>
              <w:t>反馈单位</w:t>
            </w:r>
          </w:p>
        </w:tc>
        <w:tc>
          <w:tcPr>
            <w:tcW w:w="7830" w:type="dxa"/>
            <w:tcBorders>
              <w:right w:val="single" w:color="auto" w:sz="4" w:space="0"/>
            </w:tcBorders>
            <w:shd w:val="clear" w:color="auto" w:fill="FFFFFF"/>
            <w:tcMar>
              <w:top w:w="0" w:type="dxa"/>
              <w:left w:w="108" w:type="dxa"/>
              <w:bottom w:w="0" w:type="dxa"/>
              <w:right w:w="108" w:type="dxa"/>
            </w:tcMar>
            <w:vAlign w:val="center"/>
          </w:tcPr>
          <w:p>
            <w:pPr>
              <w:widowControl/>
              <w:spacing w:line="360" w:lineRule="exact"/>
              <w:jc w:val="center"/>
              <w:rPr>
                <w:rFonts w:ascii="楷体" w:hAnsi="楷体" w:eastAsia="楷体" w:cs="宋体"/>
                <w:b/>
                <w:color w:val="040404"/>
                <w:kern w:val="0"/>
                <w:sz w:val="24"/>
                <w:szCs w:val="24"/>
              </w:rPr>
            </w:pPr>
            <w:r>
              <w:rPr>
                <w:rFonts w:hint="eastAsia" w:ascii="楷体" w:hAnsi="楷体" w:eastAsia="楷体" w:cs="宋体"/>
                <w:b/>
                <w:color w:val="040404"/>
                <w:kern w:val="0"/>
                <w:sz w:val="24"/>
                <w:szCs w:val="24"/>
              </w:rPr>
              <w:t>反馈意见</w:t>
            </w:r>
          </w:p>
        </w:tc>
        <w:tc>
          <w:tcPr>
            <w:tcW w:w="1065" w:type="dxa"/>
            <w:tcBorders>
              <w:left w:val="single" w:color="auto" w:sz="4" w:space="0"/>
            </w:tcBorders>
            <w:shd w:val="clear" w:color="auto" w:fill="FFFFFF"/>
            <w:tcMar>
              <w:top w:w="0" w:type="dxa"/>
              <w:left w:w="108" w:type="dxa"/>
              <w:bottom w:w="0" w:type="dxa"/>
              <w:right w:w="108" w:type="dxa"/>
            </w:tcMar>
            <w:vAlign w:val="center"/>
          </w:tcPr>
          <w:p>
            <w:pPr>
              <w:widowControl/>
              <w:spacing w:line="360" w:lineRule="exact"/>
              <w:jc w:val="center"/>
              <w:rPr>
                <w:rFonts w:ascii="楷体" w:hAnsi="楷体" w:eastAsia="楷体" w:cs="宋体"/>
                <w:b/>
                <w:color w:val="040404"/>
                <w:kern w:val="0"/>
                <w:sz w:val="24"/>
                <w:szCs w:val="24"/>
              </w:rPr>
            </w:pPr>
            <w:r>
              <w:rPr>
                <w:rFonts w:hint="eastAsia" w:ascii="楷体" w:hAnsi="楷体" w:eastAsia="楷体" w:cs="宋体"/>
                <w:b/>
                <w:color w:val="040404"/>
                <w:kern w:val="0"/>
                <w:sz w:val="24"/>
                <w:szCs w:val="24"/>
              </w:rPr>
              <w:t>采纳情况</w:t>
            </w:r>
          </w:p>
        </w:tc>
        <w:tc>
          <w:tcPr>
            <w:tcW w:w="3308" w:type="dxa"/>
            <w:tcBorders>
              <w:left w:val="single" w:color="auto" w:sz="4" w:space="0"/>
            </w:tcBorders>
            <w:shd w:val="clear" w:color="auto" w:fill="FFFFFF"/>
            <w:tcMar>
              <w:top w:w="0" w:type="dxa"/>
              <w:left w:w="108" w:type="dxa"/>
              <w:bottom w:w="0" w:type="dxa"/>
              <w:right w:w="108" w:type="dxa"/>
            </w:tcMar>
            <w:vAlign w:val="center"/>
          </w:tcPr>
          <w:p>
            <w:pPr>
              <w:widowControl/>
              <w:spacing w:line="360" w:lineRule="exact"/>
              <w:jc w:val="center"/>
              <w:rPr>
                <w:rFonts w:hint="eastAsia" w:ascii="楷体" w:hAnsi="楷体" w:eastAsia="楷体" w:cs="宋体"/>
                <w:b/>
                <w:color w:val="040404"/>
                <w:kern w:val="0"/>
                <w:sz w:val="24"/>
                <w:szCs w:val="24"/>
                <w:lang w:eastAsia="zh-CN"/>
              </w:rPr>
            </w:pPr>
            <w:r>
              <w:rPr>
                <w:rFonts w:hint="eastAsia" w:ascii="楷体" w:hAnsi="楷体" w:eastAsia="楷体" w:cs="宋体"/>
                <w:b/>
                <w:color w:val="040404"/>
                <w:kern w:val="0"/>
                <w:sz w:val="24"/>
                <w:szCs w:val="24"/>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71" w:hRule="atLeast"/>
          <w:jc w:val="center"/>
        </w:trPr>
        <w:tc>
          <w:tcPr>
            <w:tcW w:w="652" w:type="dxa"/>
            <w:vMerge w:val="restart"/>
            <w:shd w:val="clear" w:color="auto" w:fill="FFFFFF"/>
            <w:tcMar>
              <w:top w:w="0" w:type="dxa"/>
              <w:left w:w="108" w:type="dxa"/>
              <w:bottom w:w="0" w:type="dxa"/>
              <w:right w:w="108" w:type="dxa"/>
            </w:tcMar>
            <w:vAlign w:val="center"/>
          </w:tcPr>
          <w:p>
            <w:pPr>
              <w:widowControl/>
              <w:spacing w:line="360" w:lineRule="exact"/>
              <w:jc w:val="left"/>
              <w:rPr>
                <w:rFonts w:ascii="仿宋_GB2312" w:hAnsi="宋体" w:eastAsia="仿宋_GB2312" w:cs="宋体"/>
                <w:color w:val="040404"/>
                <w:kern w:val="0"/>
                <w:sz w:val="24"/>
                <w:szCs w:val="24"/>
              </w:rPr>
            </w:pPr>
            <w:r>
              <w:rPr>
                <w:rFonts w:hint="eastAsia" w:ascii="仿宋_GB2312" w:hAnsi="微软雅黑" w:eastAsia="仿宋_GB2312" w:cs="宋体"/>
                <w:color w:val="040404"/>
                <w:kern w:val="0"/>
                <w:sz w:val="24"/>
                <w:szCs w:val="24"/>
              </w:rPr>
              <w:t>1</w:t>
            </w:r>
          </w:p>
        </w:tc>
        <w:tc>
          <w:tcPr>
            <w:tcW w:w="1532" w:type="dxa"/>
            <w:vMerge w:val="restart"/>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深圳市计量质量检测研究院</w:t>
            </w: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十九条修改为【快检人员操作要求】快检人员应按照要求到达指定地点进行快检抽样，按照要求进行随机抽样，不得由食品生产经营者自行提供样品，并如实记录被筛查单位信息、联系人、联系电话、快检食品品种和名称、数量等信息，并对抽样过程进行拍照。</w:t>
            </w:r>
          </w:p>
          <w:p>
            <w:pPr>
              <w:ind w:firstLine="480" w:firstLineChars="200"/>
              <w:jc w:val="left"/>
              <w:rPr>
                <w:rFonts w:ascii="仿宋_GB2312" w:hAnsi="华文中宋" w:eastAsia="仿宋_GB2312"/>
                <w:sz w:val="24"/>
                <w:szCs w:val="24"/>
              </w:rPr>
            </w:pPr>
            <w:r>
              <w:rPr>
                <w:rFonts w:hint="eastAsia" w:ascii="仿宋_GB2312" w:hAnsi="华文中宋" w:eastAsia="仿宋_GB2312"/>
                <w:sz w:val="24"/>
                <w:szCs w:val="24"/>
              </w:rPr>
              <w:t>快检人员应按照快检方法作业指导书或快检产品说明书开展快检工作，并如实记录快检项目、快检日期、快检方法、快检人员姓名、快检结果以及所使用的快检产品生产企业、产品型号批号等信息。快检抽样与结果记录禁止随意涂改。受检单位应当在快检抽样记录文书上签字或者盖章。</w:t>
            </w:r>
          </w:p>
          <w:p>
            <w:pPr>
              <w:ind w:firstLine="480" w:firstLineChars="200"/>
              <w:jc w:val="left"/>
              <w:rPr>
                <w:rFonts w:ascii="仿宋_GB2312" w:hAnsi="华文中宋" w:eastAsia="仿宋_GB2312"/>
                <w:sz w:val="24"/>
                <w:szCs w:val="24"/>
              </w:rPr>
            </w:pPr>
            <w:r>
              <w:rPr>
                <w:rFonts w:hint="eastAsia" w:ascii="仿宋_GB2312" w:hAnsi="华文中宋" w:eastAsia="仿宋_GB2312"/>
                <w:sz w:val="24"/>
                <w:szCs w:val="24"/>
              </w:rPr>
              <w:t>鼓励快检机构借助信息化手段等方式，采用电子签名，对抽样地点进行GPS定位。</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5"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numPr>
                <w:ilvl w:val="0"/>
                <w:numId w:val="1"/>
              </w:num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二十条修改为【快检人员保密要求】快检人员执行快检任务时不得将快检任务的具体信息（包括抽检企业、被抽检产品种类、快检项目等）提前通知被筛查的食品生产经营者。快检人员不得将抽样与检测记录外泄或作他用。</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5"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第二条修改为【筛查类型】筛查类型包括两种：一是食品（含食用农产品）快速筛查抽样检测（以下简称 “快检”），指通过简化抽样流程，采用现场快速检测手段，对食品（含食用农产品）依法进行样品抽取和检测，根据检测结果与相关规定进行后处理的活动；二是食品质量安全监测，指通过简化抽样流程和实验室检测方法，对食品（含食用农产品）进行样品抽取和检测，并依法进行后处理的活动。”</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5"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建议删除第二章第十条（四）检验结果的汇总分析及报送方式和时限。</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5"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建议修改为“第三十五条【监测计划内容】食品质量安全监测计划应当包括下列内容：（一）抽样检验的食品以及食品相关产品的种类；（二）抽样环节、抽样方法、抽样数量等抽样工作要求；（三）检验项目、检验方法、判定依据等检验工作要求；（四）法律、法规规定的其他事项。”</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5"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文中第四章只对“快检机构”的监督管理，建议增加对“</w:t>
            </w:r>
            <w:r>
              <w:rPr>
                <w:rFonts w:hint="eastAsia" w:ascii="仿宋_GB2312" w:hAnsi="华文中宋" w:eastAsia="仿宋_GB2312"/>
                <w:b/>
                <w:sz w:val="24"/>
                <w:szCs w:val="24"/>
              </w:rPr>
              <w:t>食品质量安全检测抽检的承检机构</w:t>
            </w:r>
            <w:r>
              <w:rPr>
                <w:rFonts w:hint="eastAsia" w:ascii="仿宋_GB2312" w:hAnsi="华文中宋" w:eastAsia="仿宋_GB2312"/>
                <w:sz w:val="24"/>
                <w:szCs w:val="24"/>
              </w:rPr>
              <w:t>”的监督管理。</w:t>
            </w:r>
          </w:p>
        </w:tc>
        <w:tc>
          <w:tcPr>
            <w:tcW w:w="1065" w:type="dxa"/>
            <w:vMerge w:val="restart"/>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25" w:hRule="atLeast"/>
          <w:jc w:val="center"/>
        </w:trPr>
        <w:tc>
          <w:tcPr>
            <w:tcW w:w="652" w:type="dxa"/>
            <w:vMerge w:val="restart"/>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r>
              <w:rPr>
                <w:rFonts w:hint="eastAsia" w:ascii="仿宋_GB2312" w:hAnsi="微软雅黑" w:eastAsia="仿宋_GB2312" w:cs="宋体"/>
                <w:color w:val="040404"/>
                <w:kern w:val="0"/>
                <w:sz w:val="24"/>
                <w:szCs w:val="24"/>
              </w:rPr>
              <w:t>2</w:t>
            </w:r>
          </w:p>
        </w:tc>
        <w:tc>
          <w:tcPr>
            <w:tcW w:w="1532" w:type="dxa"/>
            <w:vMerge w:val="restart"/>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福田</w:t>
            </w:r>
            <w:r>
              <w:rPr>
                <w:rFonts w:hint="eastAsia" w:ascii="仿宋_GB2312" w:hAnsi="华文中宋" w:eastAsia="仿宋_GB2312"/>
                <w:sz w:val="24"/>
                <w:szCs w:val="24"/>
                <w:lang w:eastAsia="zh-CN"/>
              </w:rPr>
              <w:t>区食药</w:t>
            </w:r>
            <w:r>
              <w:rPr>
                <w:rFonts w:hint="eastAsia" w:ascii="仿宋_GB2312" w:hAnsi="华文中宋" w:eastAsia="仿宋_GB2312"/>
                <w:sz w:val="24"/>
                <w:szCs w:val="24"/>
              </w:rPr>
              <w:t>局</w:t>
            </w: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第二十八条【快检不合格处理】</w:t>
            </w:r>
            <w:r>
              <w:rPr>
                <w:rFonts w:hint="eastAsia" w:ascii="仿宋_GB2312" w:hAnsi="华文中宋" w:eastAsia="仿宋_GB2312"/>
                <w:sz w:val="24"/>
                <w:szCs w:val="24"/>
                <w:lang w:eastAsia="zh-CN"/>
              </w:rPr>
              <w:t>：建议考虑</w:t>
            </w:r>
            <w:r>
              <w:rPr>
                <w:rFonts w:hint="eastAsia" w:ascii="仿宋_GB2312" w:hAnsi="华文中宋" w:eastAsia="仿宋_GB2312"/>
                <w:sz w:val="24"/>
                <w:szCs w:val="24"/>
              </w:rPr>
              <w:t>第二款的实践性和操作性；</w:t>
            </w:r>
          </w:p>
          <w:p>
            <w:pPr>
              <w:jc w:val="left"/>
              <w:rPr>
                <w:rFonts w:ascii="仿宋_GB2312" w:hAnsi="华文中宋" w:eastAsia="仿宋_GB2312"/>
                <w:sz w:val="24"/>
                <w:szCs w:val="24"/>
              </w:rPr>
            </w:pPr>
            <w:r>
              <w:rPr>
                <w:rFonts w:hint="eastAsia" w:ascii="仿宋_GB2312" w:hAnsi="华文中宋" w:eastAsia="仿宋_GB2312"/>
                <w:sz w:val="24"/>
                <w:szCs w:val="24"/>
              </w:rPr>
              <w:t>第二、三、四款均规定了快检“不符合食品或食用农产品安全国家标准”时的处置方法，建议综合考虑。</w:t>
            </w:r>
          </w:p>
        </w:tc>
        <w:tc>
          <w:tcPr>
            <w:tcW w:w="1065" w:type="dxa"/>
            <w:shd w:val="clear" w:color="auto" w:fill="FFFFFF"/>
            <w:tcMar>
              <w:top w:w="0" w:type="dxa"/>
              <w:left w:w="108" w:type="dxa"/>
              <w:bottom w:w="0" w:type="dxa"/>
              <w:right w:w="108" w:type="dxa"/>
            </w:tcMar>
            <w:vAlign w:val="center"/>
          </w:tcPr>
          <w:p>
            <w:pPr>
              <w:pStyle w:val="10"/>
              <w:spacing w:beforeLines="50"/>
              <w:ind w:left="0" w:leftChars="0" w:firstLine="0" w:firstLineChars="0"/>
              <w:rPr>
                <w:rFonts w:hint="eastAsia" w:ascii="仿宋_GB2312" w:hAnsi="宋体" w:eastAsia="仿宋_GB2312" w:cs="宋体"/>
                <w:color w:val="040404"/>
                <w:kern w:val="0"/>
                <w:sz w:val="24"/>
                <w:szCs w:val="24"/>
                <w:lang w:eastAsia="zh-CN"/>
              </w:rPr>
            </w:pPr>
            <w:r>
              <w:rPr>
                <w:rFonts w:hint="eastAsia" w:ascii="仿宋_GB2312" w:hAnsi="华文中宋" w:eastAsia="仿宋_GB2312" w:cs="Times New Roman"/>
                <w:sz w:val="24"/>
                <w:szCs w:val="24"/>
                <w:lang w:eastAsia="zh-CN"/>
              </w:rPr>
              <w:t>采纳</w:t>
            </w:r>
          </w:p>
        </w:tc>
        <w:tc>
          <w:tcPr>
            <w:tcW w:w="3308" w:type="dxa"/>
            <w:shd w:val="clear" w:color="auto" w:fill="FFFFFF"/>
            <w:tcMar>
              <w:top w:w="0" w:type="dxa"/>
              <w:left w:w="108" w:type="dxa"/>
              <w:bottom w:w="0" w:type="dxa"/>
              <w:right w:w="108" w:type="dxa"/>
            </w:tcMar>
            <w:vAlign w:val="center"/>
          </w:tcPr>
          <w:p>
            <w:pPr>
              <w:pStyle w:val="10"/>
              <w:spacing w:beforeLines="50"/>
              <w:ind w:firstLine="480"/>
              <w:rPr>
                <w:rFonts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60"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第四十五条修改为【用语含义】本规定</w:t>
            </w:r>
            <w:r>
              <w:rPr>
                <w:rFonts w:ascii="仿宋_GB2312" w:hAnsi="华文中宋" w:eastAsia="仿宋_GB2312"/>
                <w:sz w:val="24"/>
                <w:szCs w:val="24"/>
              </w:rPr>
              <w:t>中下列</w:t>
            </w:r>
            <w:r>
              <w:rPr>
                <w:rFonts w:hint="eastAsia" w:ascii="仿宋_GB2312" w:hAnsi="华文中宋" w:eastAsia="仿宋_GB2312"/>
                <w:sz w:val="24"/>
                <w:szCs w:val="24"/>
              </w:rPr>
              <w:t>用语</w:t>
            </w:r>
            <w:r>
              <w:rPr>
                <w:rFonts w:ascii="仿宋_GB2312" w:hAnsi="华文中宋" w:eastAsia="仿宋_GB2312"/>
                <w:sz w:val="24"/>
                <w:szCs w:val="24"/>
              </w:rPr>
              <w:t>的含义</w:t>
            </w:r>
            <w:r>
              <w:rPr>
                <w:rFonts w:hint="eastAsia" w:ascii="仿宋_GB2312" w:hAnsi="华文中宋" w:eastAsia="仿宋_GB2312"/>
                <w:sz w:val="24"/>
                <w:szCs w:val="24"/>
              </w:rPr>
              <w:t>：</w:t>
            </w:r>
          </w:p>
          <w:p>
            <w:pPr>
              <w:jc w:val="left"/>
              <w:rPr>
                <w:rFonts w:ascii="仿宋_GB2312" w:hAnsi="华文中宋" w:eastAsia="仿宋_GB2312"/>
                <w:sz w:val="24"/>
                <w:szCs w:val="24"/>
              </w:rPr>
            </w:pPr>
            <w:r>
              <w:rPr>
                <w:rFonts w:hint="eastAsia" w:ascii="仿宋_GB2312" w:hAnsi="华文中宋" w:eastAsia="仿宋_GB2312"/>
                <w:sz w:val="24"/>
                <w:szCs w:val="24"/>
              </w:rPr>
              <w:t>（二</w:t>
            </w:r>
            <w:r>
              <w:rPr>
                <w:rFonts w:ascii="仿宋_GB2312" w:hAnsi="华文中宋" w:eastAsia="仿宋_GB2312"/>
                <w:sz w:val="24"/>
                <w:szCs w:val="24"/>
              </w:rPr>
              <w:t>）</w:t>
            </w:r>
            <w:r>
              <w:rPr>
                <w:rFonts w:hint="eastAsia" w:ascii="仿宋_GB2312" w:hAnsi="华文中宋" w:eastAsia="仿宋_GB2312"/>
                <w:sz w:val="24"/>
                <w:szCs w:val="24"/>
              </w:rPr>
              <w:t>快速</w:t>
            </w:r>
            <w:r>
              <w:rPr>
                <w:rFonts w:ascii="仿宋_GB2312" w:hAnsi="华文中宋" w:eastAsia="仿宋_GB2312"/>
                <w:sz w:val="24"/>
                <w:szCs w:val="24"/>
              </w:rPr>
              <w:t>检测</w:t>
            </w:r>
            <w:r>
              <w:rPr>
                <w:rFonts w:hint="eastAsia" w:ascii="仿宋_GB2312" w:hAnsi="华文中宋" w:eastAsia="仿宋_GB2312"/>
                <w:sz w:val="24"/>
                <w:szCs w:val="24"/>
              </w:rPr>
              <w:t>（简称“快检”），</w:t>
            </w:r>
            <w:r>
              <w:rPr>
                <w:rFonts w:ascii="仿宋_GB2312" w:hAnsi="华文中宋" w:eastAsia="仿宋_GB2312"/>
                <w:sz w:val="24"/>
                <w:szCs w:val="24"/>
              </w:rPr>
              <w:t>指</w:t>
            </w:r>
            <w:r>
              <w:rPr>
                <w:rFonts w:hint="eastAsia" w:ascii="仿宋_GB2312" w:hAnsi="华文中宋" w:eastAsia="仿宋_GB2312"/>
                <w:sz w:val="24"/>
                <w:szCs w:val="24"/>
              </w:rPr>
              <w:t>从</w:t>
            </w:r>
            <w:r>
              <w:rPr>
                <w:rFonts w:ascii="仿宋_GB2312" w:hAnsi="华文中宋" w:eastAsia="仿宋_GB2312"/>
                <w:sz w:val="24"/>
                <w:szCs w:val="24"/>
              </w:rPr>
              <w:t>样品</w:t>
            </w:r>
            <w:r>
              <w:rPr>
                <w:rFonts w:hint="eastAsia" w:ascii="仿宋_GB2312" w:hAnsi="华文中宋" w:eastAsia="仿宋_GB2312"/>
                <w:sz w:val="24"/>
                <w:szCs w:val="24"/>
              </w:rPr>
              <w:t>制备到</w:t>
            </w:r>
            <w:r>
              <w:rPr>
                <w:rFonts w:ascii="仿宋_GB2312" w:hAnsi="华文中宋" w:eastAsia="仿宋_GB2312"/>
                <w:sz w:val="24"/>
                <w:szCs w:val="24"/>
              </w:rPr>
              <w:t>短时间内用</w:t>
            </w:r>
            <w:r>
              <w:rPr>
                <w:rFonts w:hint="eastAsia" w:ascii="仿宋_GB2312" w:hAnsi="华文中宋" w:eastAsia="仿宋_GB2312"/>
                <w:sz w:val="24"/>
                <w:szCs w:val="24"/>
              </w:rPr>
              <w:t>快检</w:t>
            </w:r>
            <w:r>
              <w:rPr>
                <w:rFonts w:ascii="仿宋_GB2312" w:hAnsi="华文中宋" w:eastAsia="仿宋_GB2312"/>
                <w:sz w:val="24"/>
                <w:szCs w:val="24"/>
              </w:rPr>
              <w:t>产品</w:t>
            </w:r>
            <w:r>
              <w:rPr>
                <w:rFonts w:hint="eastAsia" w:ascii="仿宋_GB2312" w:hAnsi="华文中宋" w:eastAsia="仿宋_GB2312"/>
                <w:sz w:val="24"/>
                <w:szCs w:val="24"/>
              </w:rPr>
              <w:t>对食品（含食用农产品）进行某种特定物质或指标的快速定性检测的行为。</w:t>
            </w:r>
          </w:p>
          <w:p>
            <w:pPr>
              <w:jc w:val="left"/>
              <w:rPr>
                <w:rFonts w:ascii="仿宋_GB2312" w:hAnsi="华文中宋" w:eastAsia="仿宋_GB2312"/>
                <w:sz w:val="24"/>
                <w:szCs w:val="24"/>
              </w:rPr>
            </w:pPr>
            <w:r>
              <w:rPr>
                <w:rFonts w:hint="eastAsia" w:ascii="仿宋_GB2312" w:hAnsi="华文中宋" w:eastAsia="仿宋_GB2312"/>
                <w:sz w:val="24"/>
                <w:szCs w:val="24"/>
              </w:rPr>
              <w:t>（四</w:t>
            </w:r>
            <w:r>
              <w:rPr>
                <w:rFonts w:ascii="仿宋_GB2312" w:hAnsi="华文中宋" w:eastAsia="仿宋_GB2312"/>
                <w:sz w:val="24"/>
                <w:szCs w:val="24"/>
              </w:rPr>
              <w:t>）</w:t>
            </w:r>
            <w:r>
              <w:rPr>
                <w:rFonts w:hint="eastAsia" w:ascii="仿宋_GB2312" w:hAnsi="华文中宋" w:eastAsia="仿宋_GB2312"/>
                <w:sz w:val="24"/>
                <w:szCs w:val="24"/>
              </w:rPr>
              <w:t>食品</w:t>
            </w:r>
            <w:r>
              <w:rPr>
                <w:rFonts w:ascii="仿宋_GB2312" w:hAnsi="华文中宋" w:eastAsia="仿宋_GB2312"/>
                <w:sz w:val="24"/>
                <w:szCs w:val="24"/>
              </w:rPr>
              <w:t>质量安全</w:t>
            </w:r>
            <w:r>
              <w:rPr>
                <w:rFonts w:hint="eastAsia" w:ascii="仿宋_GB2312" w:hAnsi="华文中宋" w:eastAsia="仿宋_GB2312"/>
                <w:sz w:val="24"/>
                <w:szCs w:val="24"/>
              </w:rPr>
              <w:t>监测（简称“监测”），指通过</w:t>
            </w:r>
            <w:r>
              <w:rPr>
                <w:rFonts w:ascii="仿宋_GB2312" w:hAnsi="华文中宋" w:eastAsia="仿宋_GB2312"/>
                <w:sz w:val="24"/>
                <w:szCs w:val="24"/>
              </w:rPr>
              <w:t>简化食品</w:t>
            </w:r>
            <w:r>
              <w:rPr>
                <w:rFonts w:hint="eastAsia" w:ascii="仿宋_GB2312" w:hAnsi="华文中宋" w:eastAsia="仿宋_GB2312"/>
                <w:sz w:val="24"/>
                <w:szCs w:val="24"/>
              </w:rPr>
              <w:t>抽样信息</w:t>
            </w:r>
            <w:r>
              <w:rPr>
                <w:rFonts w:ascii="仿宋_GB2312" w:hAnsi="华文中宋" w:eastAsia="仿宋_GB2312"/>
                <w:sz w:val="24"/>
                <w:szCs w:val="24"/>
              </w:rPr>
              <w:t>、告知等</w:t>
            </w:r>
            <w:r>
              <w:rPr>
                <w:rFonts w:hint="eastAsia" w:ascii="仿宋_GB2312" w:hAnsi="华文中宋" w:eastAsia="仿宋_GB2312"/>
                <w:sz w:val="24"/>
                <w:szCs w:val="24"/>
              </w:rPr>
              <w:t>抽样</w:t>
            </w:r>
            <w:r>
              <w:rPr>
                <w:rFonts w:ascii="仿宋_GB2312" w:hAnsi="华文中宋" w:eastAsia="仿宋_GB2312"/>
                <w:sz w:val="24"/>
                <w:szCs w:val="24"/>
              </w:rPr>
              <w:t>检验</w:t>
            </w:r>
            <w:r>
              <w:rPr>
                <w:rFonts w:hint="eastAsia" w:ascii="仿宋_GB2312" w:hAnsi="华文中宋" w:eastAsia="仿宋_GB2312"/>
                <w:sz w:val="24"/>
                <w:szCs w:val="24"/>
              </w:rPr>
              <w:t>工作</w:t>
            </w:r>
            <w:r>
              <w:rPr>
                <w:rFonts w:ascii="仿宋_GB2312" w:hAnsi="华文中宋" w:eastAsia="仿宋_GB2312"/>
                <w:sz w:val="24"/>
                <w:szCs w:val="24"/>
              </w:rPr>
              <w:t>流程</w:t>
            </w:r>
            <w:r>
              <w:rPr>
                <w:rFonts w:hint="eastAsia" w:ascii="仿宋_GB2312" w:hAnsi="华文中宋" w:eastAsia="仿宋_GB2312"/>
                <w:sz w:val="24"/>
                <w:szCs w:val="24"/>
              </w:rPr>
              <w:t>，核查</w:t>
            </w:r>
            <w:r>
              <w:rPr>
                <w:rFonts w:ascii="仿宋_GB2312" w:hAnsi="华文中宋" w:eastAsia="仿宋_GB2312"/>
                <w:sz w:val="24"/>
                <w:szCs w:val="24"/>
              </w:rPr>
              <w:t>食品</w:t>
            </w:r>
            <w:r>
              <w:rPr>
                <w:rFonts w:hint="eastAsia" w:ascii="仿宋_GB2312" w:hAnsi="华文中宋" w:eastAsia="仿宋_GB2312"/>
                <w:sz w:val="24"/>
                <w:szCs w:val="24"/>
              </w:rPr>
              <w:t>是否符合相关食品</w:t>
            </w:r>
            <w:r>
              <w:rPr>
                <w:rFonts w:ascii="仿宋_GB2312" w:hAnsi="华文中宋" w:eastAsia="仿宋_GB2312"/>
                <w:sz w:val="24"/>
                <w:szCs w:val="24"/>
              </w:rPr>
              <w:t>安全</w:t>
            </w:r>
            <w:r>
              <w:rPr>
                <w:rFonts w:hint="eastAsia" w:ascii="仿宋_GB2312" w:hAnsi="华文中宋" w:eastAsia="仿宋_GB2312"/>
                <w:sz w:val="24"/>
                <w:szCs w:val="24"/>
              </w:rPr>
              <w:t>国家标准，开展的以评价食品安全状况、发现食品安全隐患为目的的活动。</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60" w:hRule="atLeast"/>
          <w:jc w:val="center"/>
        </w:trPr>
        <w:tc>
          <w:tcPr>
            <w:tcW w:w="652" w:type="dxa"/>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r>
              <w:rPr>
                <w:rFonts w:hint="eastAsia" w:ascii="仿宋_GB2312" w:hAnsi="微软雅黑" w:eastAsia="仿宋_GB2312" w:cs="宋体"/>
                <w:color w:val="040404"/>
                <w:kern w:val="0"/>
                <w:sz w:val="24"/>
                <w:szCs w:val="24"/>
              </w:rPr>
              <w:t>3</w:t>
            </w:r>
          </w:p>
        </w:tc>
        <w:tc>
          <w:tcPr>
            <w:tcW w:w="1532"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盐田</w:t>
            </w:r>
            <w:r>
              <w:rPr>
                <w:rFonts w:hint="eastAsia" w:ascii="仿宋_GB2312" w:hAnsi="华文中宋" w:eastAsia="仿宋_GB2312"/>
                <w:sz w:val="24"/>
                <w:szCs w:val="24"/>
                <w:lang w:eastAsia="zh-CN"/>
              </w:rPr>
              <w:t>区食药</w:t>
            </w:r>
            <w:r>
              <w:rPr>
                <w:rFonts w:hint="eastAsia" w:ascii="仿宋_GB2312" w:hAnsi="华文中宋" w:eastAsia="仿宋_GB2312"/>
                <w:sz w:val="24"/>
                <w:szCs w:val="24"/>
              </w:rPr>
              <w:t>局</w:t>
            </w: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第三十二条修改为【市民送检处理】食品安全监管部门组织开展“市民送样免费快检”等活动时，快检机构应登记市民姓名、身份证号、手机号码和样品来源等信息，送检市民对登记信息真实性负责，快检机构通过信息化技术告知快检结果。各快检室每日接收市民送检数量及检测指标由各快检室自行根据检测能力确定。</w:t>
            </w:r>
          </w:p>
          <w:p>
            <w:pPr>
              <w:jc w:val="left"/>
              <w:rPr>
                <w:rFonts w:ascii="仿宋_GB2312" w:hAnsi="华文中宋" w:eastAsia="仿宋_GB2312"/>
                <w:sz w:val="24"/>
                <w:szCs w:val="24"/>
              </w:rPr>
            </w:pPr>
            <w:r>
              <w:rPr>
                <w:rFonts w:hint="eastAsia" w:ascii="仿宋_GB2312" w:hAnsi="华文中宋" w:eastAsia="仿宋_GB2312"/>
                <w:sz w:val="24"/>
                <w:szCs w:val="24"/>
              </w:rPr>
              <w:t>市民送样的快检结果仅针对市民所送样品的快检结论判定，不得对外公开、宣传，且不作为食品安全监管部门行政执法的依据。快检机构应根据登记的样品来源信息，在3个工作日内对同一品种进行快检，没有同一品种的可选择其他品种。</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18" w:hRule="atLeast"/>
          <w:jc w:val="center"/>
        </w:trPr>
        <w:tc>
          <w:tcPr>
            <w:tcW w:w="652" w:type="dxa"/>
            <w:vMerge w:val="restart"/>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r>
              <w:rPr>
                <w:rFonts w:hint="eastAsia" w:ascii="仿宋_GB2312" w:hAnsi="微软雅黑" w:eastAsia="仿宋_GB2312" w:cs="宋体"/>
                <w:color w:val="040404"/>
                <w:kern w:val="0"/>
                <w:sz w:val="24"/>
                <w:szCs w:val="24"/>
              </w:rPr>
              <w:t>4</w:t>
            </w:r>
          </w:p>
        </w:tc>
        <w:tc>
          <w:tcPr>
            <w:tcW w:w="1532" w:type="dxa"/>
            <w:vMerge w:val="restart"/>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南海油脂工业（赤湾）有限公司</w:t>
            </w: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第二章 第一节 第八条</w:t>
            </w:r>
          </w:p>
          <w:p>
            <w:pPr>
              <w:jc w:val="left"/>
              <w:rPr>
                <w:rFonts w:ascii="仿宋_GB2312" w:hAnsi="华文中宋" w:eastAsia="仿宋_GB2312"/>
                <w:sz w:val="24"/>
                <w:szCs w:val="24"/>
              </w:rPr>
            </w:pPr>
            <w:r>
              <w:rPr>
                <w:rFonts w:hint="eastAsia" w:ascii="仿宋_GB2312" w:hAnsi="华文中宋" w:eastAsia="仿宋_GB2312"/>
                <w:sz w:val="24"/>
                <w:szCs w:val="24"/>
              </w:rPr>
              <w:t>检测主要针对食用农产品、散装食品、餐饮食品、现场制售食品。对于预包装食品原则上以常规实验室检验为主。</w:t>
            </w:r>
          </w:p>
          <w:p>
            <w:pPr>
              <w:jc w:val="left"/>
              <w:rPr>
                <w:rFonts w:ascii="仿宋_GB2312" w:hAnsi="华文中宋" w:eastAsia="仿宋_GB2312"/>
                <w:sz w:val="24"/>
                <w:szCs w:val="24"/>
              </w:rPr>
            </w:pPr>
            <w:r>
              <w:rPr>
                <w:rFonts w:hint="eastAsia" w:ascii="仿宋_GB2312" w:hAnsi="华文中宋" w:eastAsia="仿宋_GB2312"/>
                <w:sz w:val="24"/>
                <w:szCs w:val="24"/>
              </w:rPr>
              <w:t>建议严格按照国家规定执行，不将预包装食品纳入快检适用范围</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部分</w:t>
            </w: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both"/>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修改为“一般情况下，</w:t>
            </w:r>
            <w:r>
              <w:rPr>
                <w:rFonts w:hint="eastAsia" w:ascii="仿宋_GB2312" w:hAnsi="华文中宋" w:eastAsia="仿宋_GB2312"/>
                <w:sz w:val="24"/>
                <w:szCs w:val="24"/>
              </w:rPr>
              <w:t>预包装食品以常规实验室检验为主</w:t>
            </w:r>
            <w:r>
              <w:rPr>
                <w:rFonts w:hint="eastAsia" w:ascii="仿宋_GB2312" w:hAnsi="华文中宋" w:eastAsia="仿宋_GB2312"/>
                <w:sz w:val="24"/>
                <w:szCs w:val="24"/>
                <w:lang w:eastAsia="zh-CN"/>
              </w:rPr>
              <w:t>”</w:t>
            </w:r>
            <w:r>
              <w:rPr>
                <w:rFonts w:hint="eastAsia" w:ascii="仿宋_GB2312" w:hAnsi="华文中宋" w:eastAsia="仿宋_GB2312"/>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53"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第二十七条 【快检结果告知】快检机构应在快检结果作出后及时通过书面或借助信息化手段等方式方法将快检结果告知被筛查人。</w:t>
            </w:r>
          </w:p>
          <w:p>
            <w:pPr>
              <w:jc w:val="left"/>
              <w:rPr>
                <w:rFonts w:ascii="仿宋_GB2312" w:hAnsi="华文中宋" w:eastAsia="仿宋_GB2312"/>
                <w:sz w:val="24"/>
                <w:szCs w:val="24"/>
              </w:rPr>
            </w:pPr>
            <w:r>
              <w:rPr>
                <w:rFonts w:hint="eastAsia" w:ascii="仿宋_GB2312" w:hAnsi="华文中宋" w:eastAsia="仿宋_GB2312"/>
                <w:sz w:val="24"/>
                <w:szCs w:val="24"/>
              </w:rPr>
              <w:t>建议除了将快检结果告知被筛查人，还要告知生产企业</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未</w:t>
            </w: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both"/>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快检是在短时间针对受检单位生产销售的产品进行快速定性检测，并需快速处理的活动，其对象是受检单位，受检单位如有需要可以告知供应商或生产企业。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8"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第二章 第四节 第二十九条 【快检异议处理】被筛查人对快检结果有异议的，应在收到快检结果时起4小时内申请复检。</w:t>
            </w:r>
          </w:p>
          <w:p>
            <w:pPr>
              <w:jc w:val="both"/>
              <w:rPr>
                <w:rFonts w:ascii="仿宋_GB2312" w:hAnsi="华文中宋" w:eastAsia="仿宋_GB2312"/>
                <w:sz w:val="24"/>
                <w:szCs w:val="24"/>
              </w:rPr>
            </w:pPr>
            <w:r>
              <w:rPr>
                <w:rFonts w:hint="eastAsia" w:ascii="仿宋_GB2312" w:hAnsi="华文中宋" w:eastAsia="仿宋_GB2312"/>
                <w:sz w:val="24"/>
                <w:szCs w:val="24"/>
              </w:rPr>
              <w:t>建议将申请复检的时间限制分类规定，农产品为4小时内申请复检，而预包装食品申请复检的时间限制延长为生产企业收到快检结果时起至少1个工作日</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未</w:t>
            </w: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both"/>
              <w:rPr>
                <w:rFonts w:hint="eastAsia" w:ascii="仿宋_GB2312" w:hAnsi="宋体" w:eastAsia="仿宋_GB2312" w:cs="宋体"/>
                <w:color w:val="040404"/>
                <w:kern w:val="0"/>
                <w:sz w:val="24"/>
                <w:szCs w:val="24"/>
                <w:lang w:val="en-US" w:eastAsia="zh-CN"/>
              </w:rPr>
            </w:pPr>
            <w:r>
              <w:rPr>
                <w:rFonts w:hint="eastAsia" w:ascii="仿宋_GB2312" w:hAnsi="宋体" w:eastAsia="仿宋_GB2312" w:cs="宋体"/>
                <w:color w:val="040404"/>
                <w:kern w:val="0"/>
                <w:sz w:val="24"/>
                <w:szCs w:val="24"/>
                <w:lang w:eastAsia="zh-CN"/>
              </w:rPr>
              <w:t>食品安全法规定的复检申请时限为</w:t>
            </w:r>
            <w:r>
              <w:rPr>
                <w:rFonts w:hint="eastAsia" w:ascii="仿宋_GB2312" w:hAnsi="宋体" w:eastAsia="仿宋_GB2312" w:cs="宋体"/>
                <w:color w:val="040404"/>
                <w:kern w:val="0"/>
                <w:sz w:val="24"/>
                <w:szCs w:val="24"/>
                <w:lang w:val="en-US" w:eastAsia="zh-CN"/>
              </w:rPr>
              <w:t>4小时，且是受检单位提出复检申请。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1"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hint="eastAsia" w:ascii="仿宋_GB2312" w:hAnsi="华文中宋" w:eastAsia="仿宋_GB2312"/>
                <w:sz w:val="24"/>
                <w:szCs w:val="24"/>
              </w:rPr>
            </w:pPr>
            <w:r>
              <w:rPr>
                <w:rFonts w:hint="eastAsia" w:ascii="仿宋_GB2312" w:hAnsi="华文中宋" w:eastAsia="仿宋_GB2312"/>
                <w:sz w:val="24"/>
                <w:szCs w:val="24"/>
              </w:rPr>
              <w:t>快检产品的检出限设置</w:t>
            </w:r>
          </w:p>
          <w:p>
            <w:pPr>
              <w:jc w:val="left"/>
              <w:rPr>
                <w:rFonts w:ascii="仿宋_GB2312" w:hAnsi="华文中宋" w:eastAsia="仿宋_GB2312"/>
                <w:sz w:val="24"/>
                <w:szCs w:val="24"/>
                <w:highlight w:val="yellow"/>
              </w:rPr>
            </w:pPr>
            <w:r>
              <w:rPr>
                <w:rFonts w:hint="eastAsia" w:ascii="仿宋_GB2312" w:hAnsi="华文中宋" w:eastAsia="仿宋_GB2312"/>
                <w:sz w:val="24"/>
                <w:szCs w:val="24"/>
              </w:rPr>
              <w:t>建议根据相应国家食品安全标准设置快检产品的检出限，快检机构不得随意调低检出限，以免导致误判</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40404"/>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59"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第三章 第三节 第四十一条【监测异议处理】食品质量安全监测结果不接受复检申请。</w:t>
            </w:r>
          </w:p>
          <w:p>
            <w:pPr>
              <w:jc w:val="left"/>
              <w:rPr>
                <w:rFonts w:ascii="仿宋_GB2312" w:hAnsi="华文中宋" w:eastAsia="仿宋_GB2312"/>
                <w:sz w:val="24"/>
                <w:szCs w:val="24"/>
              </w:rPr>
            </w:pPr>
            <w:r>
              <w:rPr>
                <w:rFonts w:hint="eastAsia" w:ascii="仿宋_GB2312" w:hAnsi="华文中宋" w:eastAsia="仿宋_GB2312"/>
                <w:sz w:val="24"/>
                <w:szCs w:val="24"/>
              </w:rPr>
              <w:t>食品安全法第88条规定，对检验结论有异议的，食品生产经营者可自收到检验结论之日起7个工作日内提出复检申请。建议修改此条款为可接受复检申请。</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部分</w:t>
            </w: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both"/>
              <w:rPr>
                <w:rFonts w:hint="eastAsia" w:ascii="仿宋_GB2312" w:hAnsi="宋体" w:eastAsia="仿宋_GB2312" w:cs="宋体"/>
                <w:color w:val="040404"/>
                <w:kern w:val="0"/>
                <w:sz w:val="24"/>
                <w:szCs w:val="24"/>
                <w:lang w:eastAsia="zh-CN"/>
              </w:rPr>
            </w:pPr>
            <w:r>
              <w:rPr>
                <w:rFonts w:hint="eastAsia" w:ascii="仿宋_GB2312" w:hAnsi="华文中宋" w:eastAsia="仿宋_GB2312"/>
                <w:sz w:val="24"/>
                <w:szCs w:val="24"/>
              </w:rPr>
              <w:t>食品安全法第88条</w:t>
            </w:r>
            <w:r>
              <w:rPr>
                <w:rFonts w:hint="eastAsia" w:ascii="仿宋_GB2312" w:hAnsi="华文中宋" w:eastAsia="仿宋_GB2312"/>
                <w:sz w:val="24"/>
                <w:szCs w:val="24"/>
                <w:lang w:eastAsia="zh-CN"/>
              </w:rPr>
              <w:t>是针对抽样检验的复检要求，该规定的</w:t>
            </w:r>
            <w:r>
              <w:rPr>
                <w:rFonts w:hint="eastAsia" w:ascii="仿宋_GB2312" w:hAnsi="宋体" w:eastAsia="仿宋_GB2312" w:cs="宋体"/>
                <w:color w:val="040404"/>
                <w:kern w:val="0"/>
                <w:sz w:val="24"/>
                <w:szCs w:val="24"/>
                <w:lang w:eastAsia="zh-CN"/>
              </w:rPr>
              <w:t>监测是按照《深圳经济特区食品安全监督条例》</w:t>
            </w:r>
            <w:r>
              <w:rPr>
                <w:rFonts w:hint="eastAsia" w:ascii="仿宋_GB2312" w:hAnsi="宋体" w:eastAsia="仿宋_GB2312" w:cs="宋体"/>
                <w:color w:val="040404"/>
                <w:kern w:val="0"/>
                <w:sz w:val="24"/>
                <w:szCs w:val="24"/>
                <w:lang w:val="en-US" w:eastAsia="zh-CN"/>
              </w:rPr>
              <w:t>36条要求，</w:t>
            </w:r>
            <w:r>
              <w:rPr>
                <w:rFonts w:hint="eastAsia" w:ascii="仿宋_GB2312" w:hAnsi="宋体" w:eastAsia="仿宋_GB2312" w:cs="宋体"/>
                <w:color w:val="040404"/>
                <w:kern w:val="0"/>
                <w:sz w:val="24"/>
                <w:szCs w:val="24"/>
                <w:lang w:eastAsia="zh-CN"/>
              </w:rPr>
              <w:t>简化了抽样流程，抽取的样品不包含复检备份样品，且监测不合格结果不直接作为立案查处的依据。为保障食品生产经营者权利，规定如有异议，食品安全监管部门</w:t>
            </w:r>
            <w:r>
              <w:rPr>
                <w:rFonts w:hint="eastAsia" w:ascii="仿宋_GB2312" w:hAnsi="宋体" w:eastAsia="仿宋_GB2312" w:cs="宋体"/>
                <w:color w:val="040404"/>
                <w:kern w:val="0"/>
                <w:sz w:val="24"/>
                <w:szCs w:val="24"/>
                <w:lang w:val="en-US" w:eastAsia="zh-CN"/>
              </w:rPr>
              <w:t>在7个工作日内组织有资质的食品检验机构按照抽样检验工作流程对受检单位或市场上生产经营的同一品种开展监督抽检，结果以监督抽检结果为准。</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7" w:hRule="atLeast"/>
          <w:jc w:val="center"/>
        </w:trPr>
        <w:tc>
          <w:tcPr>
            <w:tcW w:w="652" w:type="dxa"/>
            <w:vMerge w:val="continue"/>
            <w:shd w:val="clear" w:color="auto" w:fill="FFFFFF"/>
            <w:tcMar>
              <w:top w:w="0" w:type="dxa"/>
              <w:left w:w="108" w:type="dxa"/>
              <w:bottom w:w="0" w:type="dxa"/>
              <w:right w:w="108" w:type="dxa"/>
            </w:tcMar>
            <w:vAlign w:val="center"/>
          </w:tcPr>
          <w:p>
            <w:pPr>
              <w:widowControl/>
              <w:spacing w:line="360" w:lineRule="exact"/>
              <w:jc w:val="left"/>
              <w:rPr>
                <w:rFonts w:ascii="仿宋_GB2312" w:hAnsi="微软雅黑" w:eastAsia="仿宋_GB2312" w:cs="宋体"/>
                <w:color w:val="040404"/>
                <w:kern w:val="0"/>
                <w:sz w:val="24"/>
                <w:szCs w:val="24"/>
              </w:rPr>
            </w:pPr>
          </w:p>
        </w:tc>
        <w:tc>
          <w:tcPr>
            <w:tcW w:w="1532" w:type="dxa"/>
            <w:vMerge w:val="continue"/>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p>
        </w:tc>
        <w:tc>
          <w:tcPr>
            <w:tcW w:w="7830" w:type="dxa"/>
            <w:shd w:val="clear" w:color="auto" w:fill="FFFFFF"/>
            <w:tcMar>
              <w:top w:w="0" w:type="dxa"/>
              <w:left w:w="108" w:type="dxa"/>
              <w:bottom w:w="0" w:type="dxa"/>
              <w:right w:w="108" w:type="dxa"/>
            </w:tcMar>
            <w:vAlign w:val="center"/>
          </w:tcPr>
          <w:p>
            <w:pPr>
              <w:jc w:val="left"/>
              <w:rPr>
                <w:rFonts w:ascii="仿宋_GB2312" w:hAnsi="华文中宋" w:eastAsia="仿宋_GB2312"/>
                <w:sz w:val="24"/>
                <w:szCs w:val="24"/>
              </w:rPr>
            </w:pPr>
            <w:r>
              <w:rPr>
                <w:rFonts w:hint="eastAsia" w:ascii="仿宋_GB2312" w:hAnsi="华文中宋" w:eastAsia="仿宋_GB2312"/>
                <w:sz w:val="24"/>
                <w:szCs w:val="24"/>
              </w:rPr>
              <w:t>第三章（食品质量安全监测）内容与前面章节快速筛查的内容没有关联，建议删去。</w:t>
            </w:r>
          </w:p>
        </w:tc>
        <w:tc>
          <w:tcPr>
            <w:tcW w:w="1065" w:type="dxa"/>
            <w:shd w:val="clear" w:color="auto" w:fill="FFFFFF"/>
            <w:tcMar>
              <w:top w:w="0" w:type="dxa"/>
              <w:left w:w="108" w:type="dxa"/>
              <w:bottom w:w="0" w:type="dxa"/>
              <w:right w:w="108" w:type="dxa"/>
            </w:tcMar>
            <w:vAlign w:val="center"/>
          </w:tcPr>
          <w:p>
            <w:pPr>
              <w:widowControl/>
              <w:spacing w:line="360" w:lineRule="exact"/>
              <w:jc w:val="center"/>
              <w:rPr>
                <w:rFonts w:ascii="仿宋_GB2312" w:hAnsi="宋体" w:eastAsia="仿宋_GB2312" w:cs="宋体"/>
                <w:color w:val="040404"/>
                <w:kern w:val="0"/>
                <w:sz w:val="24"/>
                <w:szCs w:val="24"/>
              </w:rPr>
            </w:pPr>
            <w:r>
              <w:rPr>
                <w:rFonts w:hint="eastAsia" w:ascii="仿宋_GB2312" w:hAnsi="宋体" w:eastAsia="仿宋_GB2312" w:cs="宋体"/>
                <w:color w:val="040404"/>
                <w:kern w:val="0"/>
                <w:sz w:val="24"/>
                <w:szCs w:val="24"/>
                <w:lang w:eastAsia="zh-CN"/>
              </w:rPr>
              <w:t>未</w:t>
            </w:r>
            <w:r>
              <w:rPr>
                <w:rFonts w:hint="eastAsia" w:ascii="仿宋_GB2312" w:hAnsi="宋体" w:eastAsia="仿宋_GB2312" w:cs="宋体"/>
                <w:color w:val="040404"/>
                <w:kern w:val="0"/>
                <w:sz w:val="24"/>
                <w:szCs w:val="24"/>
              </w:rPr>
              <w:t>采纳</w:t>
            </w:r>
          </w:p>
        </w:tc>
        <w:tc>
          <w:tcPr>
            <w:tcW w:w="3308" w:type="dxa"/>
            <w:shd w:val="clear" w:color="auto" w:fill="FFFFFF"/>
            <w:tcMar>
              <w:top w:w="0" w:type="dxa"/>
              <w:left w:w="108" w:type="dxa"/>
              <w:bottom w:w="0" w:type="dxa"/>
              <w:right w:w="108" w:type="dxa"/>
            </w:tcMar>
            <w:vAlign w:val="center"/>
          </w:tcPr>
          <w:p>
            <w:pPr>
              <w:widowControl/>
              <w:spacing w:line="360" w:lineRule="exact"/>
              <w:jc w:val="both"/>
              <w:rPr>
                <w:rFonts w:hint="eastAsia" w:ascii="仿宋_GB2312" w:hAnsi="宋体" w:eastAsia="仿宋_GB2312" w:cs="宋体"/>
                <w:color w:val="040404"/>
                <w:kern w:val="0"/>
                <w:sz w:val="24"/>
                <w:szCs w:val="24"/>
                <w:lang w:eastAsia="zh-CN"/>
              </w:rPr>
            </w:pPr>
            <w:r>
              <w:rPr>
                <w:rFonts w:hint="eastAsia" w:ascii="仿宋_GB2312" w:hAnsi="宋体" w:eastAsia="仿宋_GB2312" w:cs="宋体"/>
                <w:color w:val="040404"/>
                <w:kern w:val="0"/>
                <w:sz w:val="24"/>
                <w:szCs w:val="24"/>
                <w:lang w:eastAsia="zh-CN"/>
              </w:rPr>
              <w:t>第三章属于初步筛查的一种类型</w:t>
            </w:r>
          </w:p>
        </w:tc>
      </w:tr>
    </w:tbl>
    <w:p>
      <w:p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056"/>
    <w:multiLevelType w:val="singleLevel"/>
    <w:tmpl w:val="4F467056"/>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52FF1"/>
    <w:rsid w:val="00001E74"/>
    <w:rsid w:val="00045A01"/>
    <w:rsid w:val="002453C0"/>
    <w:rsid w:val="002D5447"/>
    <w:rsid w:val="0030428E"/>
    <w:rsid w:val="00331960"/>
    <w:rsid w:val="00351FB3"/>
    <w:rsid w:val="00363AA4"/>
    <w:rsid w:val="003F1F0A"/>
    <w:rsid w:val="00426C5D"/>
    <w:rsid w:val="004A4253"/>
    <w:rsid w:val="004A6633"/>
    <w:rsid w:val="004F2565"/>
    <w:rsid w:val="0057208F"/>
    <w:rsid w:val="00695B80"/>
    <w:rsid w:val="006C570E"/>
    <w:rsid w:val="00701C15"/>
    <w:rsid w:val="007444E6"/>
    <w:rsid w:val="007910A6"/>
    <w:rsid w:val="007B581E"/>
    <w:rsid w:val="008338BC"/>
    <w:rsid w:val="008800EC"/>
    <w:rsid w:val="0088071F"/>
    <w:rsid w:val="00A31DC0"/>
    <w:rsid w:val="00A52FF1"/>
    <w:rsid w:val="00AF6A0E"/>
    <w:rsid w:val="00B3356A"/>
    <w:rsid w:val="00B540D9"/>
    <w:rsid w:val="00B664C3"/>
    <w:rsid w:val="00B77FEB"/>
    <w:rsid w:val="00BB2B1D"/>
    <w:rsid w:val="00BB6921"/>
    <w:rsid w:val="00BC37FC"/>
    <w:rsid w:val="00C26D8C"/>
    <w:rsid w:val="00C32F5D"/>
    <w:rsid w:val="00C92A85"/>
    <w:rsid w:val="00D23140"/>
    <w:rsid w:val="00D4232A"/>
    <w:rsid w:val="00DC70F7"/>
    <w:rsid w:val="00DC7419"/>
    <w:rsid w:val="00EE703F"/>
    <w:rsid w:val="00F42CA2"/>
    <w:rsid w:val="00F76B14"/>
    <w:rsid w:val="00F844F2"/>
    <w:rsid w:val="039953CA"/>
    <w:rsid w:val="0ACD26FF"/>
    <w:rsid w:val="192C377A"/>
    <w:rsid w:val="2FDC3F77"/>
    <w:rsid w:val="38FC49B9"/>
    <w:rsid w:val="4AC575B7"/>
    <w:rsid w:val="51227A93"/>
    <w:rsid w:val="585C7D90"/>
    <w:rsid w:val="586B62BE"/>
    <w:rsid w:val="643F1B4B"/>
    <w:rsid w:val="7DC725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5"/>
    <w:link w:val="2"/>
    <w:qFormat/>
    <w:uiPriority w:val="9"/>
    <w:rPr>
      <w:rFonts w:ascii="宋体" w:hAnsi="宋体" w:eastAsia="宋体" w:cs="宋体"/>
      <w:b/>
      <w:bCs/>
      <w:kern w:val="0"/>
      <w:sz w:val="27"/>
      <w:szCs w:val="27"/>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spacing w:line="360" w:lineRule="auto"/>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326</Words>
  <Characters>1859</Characters>
  <Lines>15</Lines>
  <Paragraphs>4</Paragraphs>
  <TotalTime>1</TotalTime>
  <ScaleCrop>false</ScaleCrop>
  <LinksUpToDate>false</LinksUpToDate>
  <CharactersWithSpaces>2181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2018-06-07T08:03:00Z</dcterms:created>
  <dc:creator>韩平华</dc:creator>
  <cp:lastModifiedBy>哈密瓜</cp:lastModifiedBy>
  <dcterms:modified xsi:type="dcterms:W3CDTF">2018-06-12T01:26:26Z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