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Arial"/>
          <w:kern w:val="0"/>
          <w:sz w:val="32"/>
          <w:szCs w:val="32"/>
        </w:rPr>
      </w:pPr>
      <w:r>
        <w:rPr>
          <w:rFonts w:hint="eastAsia" w:ascii="黑体" w:hAnsi="黑体" w:eastAsia="黑体" w:cs="Arial"/>
          <w:kern w:val="0"/>
          <w:sz w:val="32"/>
          <w:szCs w:val="32"/>
        </w:rPr>
        <w:t>附件3</w:t>
      </w:r>
    </w:p>
    <w:p>
      <w:pPr>
        <w:spacing w:line="560" w:lineRule="exact"/>
        <w:jc w:val="center"/>
        <w:rPr>
          <w:rFonts w:eastAsia="方正小标宋简体"/>
          <w:spacing w:val="-12"/>
          <w:sz w:val="44"/>
          <w:szCs w:val="44"/>
        </w:rPr>
      </w:pPr>
      <w:r>
        <w:rPr>
          <w:rFonts w:hint="eastAsia" w:eastAsia="方正小标宋简体"/>
          <w:spacing w:val="-12"/>
          <w:sz w:val="44"/>
          <w:szCs w:val="44"/>
        </w:rPr>
        <w:t>部分不合格项目小知识</w:t>
      </w:r>
    </w:p>
    <w:p>
      <w:pPr>
        <w:spacing w:line="560" w:lineRule="exact"/>
        <w:ind w:firstLine="480" w:firstLineChars="200"/>
        <w:rPr>
          <w:rFonts w:ascii="宋体" w:hAnsi="宋体" w:eastAsia="宋体" w:cs="宋体"/>
          <w:kern w:val="0"/>
          <w:sz w:val="24"/>
          <w:szCs w:val="24"/>
        </w:rPr>
      </w:pPr>
    </w:p>
    <w:p>
      <w:pPr>
        <w:spacing w:line="560" w:lineRule="exact"/>
        <w:ind w:firstLine="643" w:firstLineChars="200"/>
        <w:rPr>
          <w:rFonts w:ascii="黑体" w:hAnsi="黑体" w:eastAsia="黑体" w:cs="仿宋_GB2312"/>
          <w:b/>
          <w:sz w:val="32"/>
          <w:szCs w:val="32"/>
        </w:rPr>
      </w:pPr>
      <w:r>
        <w:rPr>
          <w:rFonts w:hint="eastAsia" w:ascii="黑体" w:hAnsi="黑体" w:eastAsia="黑体" w:cs="仿宋_GB2312"/>
          <w:b/>
          <w:sz w:val="32"/>
          <w:szCs w:val="32"/>
        </w:rPr>
        <w:t>一、不合格项目小知识</w:t>
      </w:r>
    </w:p>
    <w:p>
      <w:pPr>
        <w:spacing w:line="560" w:lineRule="exact"/>
        <w:ind w:firstLine="643" w:firstLineChars="200"/>
        <w:rPr>
          <w:rFonts w:ascii="楷体" w:hAnsi="楷体" w:eastAsia="楷体" w:cs="仿宋_GB2312"/>
          <w:b/>
          <w:sz w:val="32"/>
          <w:szCs w:val="32"/>
        </w:rPr>
      </w:pPr>
      <w:r>
        <w:rPr>
          <w:rFonts w:ascii="楷体" w:hAnsi="楷体" w:eastAsia="楷体" w:cs="仿宋_GB2312"/>
          <w:b/>
          <w:sz w:val="32"/>
          <w:szCs w:val="32"/>
        </w:rPr>
        <w:t>1</w:t>
      </w:r>
      <w:r>
        <w:rPr>
          <w:rFonts w:hint="eastAsia" w:ascii="楷体" w:hAnsi="楷体" w:eastAsia="楷体" w:cs="仿宋_GB2312"/>
          <w:b/>
          <w:sz w:val="32"/>
          <w:szCs w:val="32"/>
        </w:rPr>
        <w:t>、苯甲酸及其钠盐</w:t>
      </w:r>
    </w:p>
    <w:p>
      <w:pPr>
        <w:spacing w:line="560" w:lineRule="exact"/>
        <w:ind w:firstLine="640" w:firstLineChars="200"/>
        <w:rPr>
          <w:rFonts w:ascii="仿宋" w:hAnsi="仿宋" w:eastAsia="仿宋"/>
          <w:sz w:val="32"/>
          <w:szCs w:val="32"/>
        </w:rPr>
      </w:pPr>
      <w:r>
        <w:rPr>
          <w:rFonts w:ascii="仿宋" w:hAnsi="仿宋" w:eastAsia="仿宋"/>
          <w:sz w:val="32"/>
          <w:szCs w:val="32"/>
        </w:rPr>
        <w:t>苯甲酸及其钠盐是食品工业中常见的一种防腐保鲜剂，对霉菌、酵母和细菌有较好的抑制作用。</w:t>
      </w:r>
      <w:r>
        <w:rPr>
          <w:rFonts w:ascii="仿宋" w:hAnsi="仿宋" w:eastAsia="仿宋"/>
          <w:spacing w:val="14"/>
          <w:sz w:val="32"/>
          <w:szCs w:val="32"/>
        </w:rPr>
        <w:t>《食品安全国家标准 食品添加剂使用标准》</w:t>
      </w:r>
      <w:r>
        <w:rPr>
          <w:rFonts w:ascii="仿宋" w:hAnsi="仿宋" w:eastAsia="仿宋"/>
          <w:spacing w:val="-6"/>
          <w:sz w:val="32"/>
          <w:szCs w:val="32"/>
        </w:rPr>
        <w:t>（GB</w:t>
      </w:r>
      <w:r>
        <w:rPr>
          <w:rFonts w:ascii="仿宋" w:hAnsi="仿宋" w:eastAsia="仿宋"/>
          <w:sz w:val="32"/>
          <w:szCs w:val="32"/>
        </w:rPr>
        <w:t xml:space="preserve"> 2760</w:t>
      </w:r>
      <w:r>
        <w:rPr>
          <w:rFonts w:hint="eastAsia" w:ascii="仿宋" w:hAnsi="仿宋" w:eastAsia="仿宋"/>
          <w:sz w:val="32"/>
          <w:szCs w:val="32"/>
        </w:rPr>
        <w:t>-</w:t>
      </w:r>
      <w:r>
        <w:rPr>
          <w:rFonts w:ascii="仿宋" w:hAnsi="仿宋" w:eastAsia="仿宋"/>
          <w:sz w:val="32"/>
          <w:szCs w:val="32"/>
        </w:rPr>
        <w:t>2014）中规定，</w:t>
      </w:r>
      <w:r>
        <w:rPr>
          <w:rFonts w:hint="eastAsia" w:ascii="仿宋" w:hAnsi="仿宋" w:eastAsia="仿宋"/>
          <w:sz w:val="32"/>
          <w:szCs w:val="32"/>
        </w:rPr>
        <w:t>粮食加工品（生湿面制品）</w:t>
      </w:r>
      <w:r>
        <w:rPr>
          <w:rFonts w:ascii="仿宋" w:hAnsi="仿宋" w:eastAsia="仿宋"/>
          <w:sz w:val="32"/>
          <w:szCs w:val="32"/>
        </w:rPr>
        <w:t>中不得使用苯甲酸及其钠盐。苯甲酸及其钠盐的安全性较高，少量苯甲酸对人体无毒害，可随尿液排出体外，在人体内不会蓄积。若长期过量食入苯甲酸超标的食品可能会对肝脏功能产</w:t>
      </w:r>
      <w:r>
        <w:rPr>
          <w:rFonts w:ascii="仿宋" w:hAnsi="仿宋" w:eastAsia="仿宋"/>
          <w:spacing w:val="14"/>
          <w:sz w:val="32"/>
          <w:szCs w:val="32"/>
        </w:rPr>
        <w:t>生一定影响</w:t>
      </w:r>
      <w:r>
        <w:rPr>
          <w:rFonts w:ascii="仿宋" w:hAnsi="仿宋" w:eastAsia="仿宋" w:cs="宋体"/>
          <w:kern w:val="0"/>
          <w:sz w:val="32"/>
          <w:szCs w:val="32"/>
        </w:rPr>
        <w:t>。</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2、脱氢乙酸及其钠盐</w:t>
      </w:r>
    </w:p>
    <w:p>
      <w:pPr>
        <w:spacing w:line="560" w:lineRule="exact"/>
        <w:ind w:firstLine="640" w:firstLineChars="200"/>
        <w:rPr>
          <w:rFonts w:ascii="仿宋" w:hAnsi="仿宋" w:eastAsia="仿宋"/>
          <w:sz w:val="32"/>
          <w:szCs w:val="32"/>
        </w:rPr>
      </w:pPr>
      <w:r>
        <w:rPr>
          <w:rFonts w:hint="eastAsia" w:ascii="仿宋" w:hAnsi="仿宋" w:eastAsia="仿宋" w:cs="宋体"/>
          <w:kern w:val="0"/>
          <w:sz w:val="32"/>
          <w:szCs w:val="32"/>
          <w:lang w:val="zh-CN"/>
        </w:rPr>
        <w:t>脱氢乙酸及其钠盐是一种低毒高效防腐、防霉剂。在酸、碱条件下均有一定的抗菌作用，尤其对酵母菌和霉菌的抑制作用最强。</w:t>
      </w:r>
      <w:r>
        <w:rPr>
          <w:rFonts w:ascii="仿宋" w:hAnsi="仿宋" w:eastAsia="仿宋"/>
          <w:spacing w:val="14"/>
          <w:sz w:val="32"/>
          <w:szCs w:val="32"/>
        </w:rPr>
        <w:t>《食品安全国家标准 食品添加剂使用标准》</w:t>
      </w:r>
      <w:r>
        <w:rPr>
          <w:rFonts w:ascii="仿宋" w:hAnsi="仿宋" w:eastAsia="仿宋"/>
          <w:spacing w:val="-6"/>
          <w:sz w:val="32"/>
          <w:szCs w:val="32"/>
        </w:rPr>
        <w:t>（GB</w:t>
      </w:r>
      <w:r>
        <w:rPr>
          <w:rFonts w:ascii="仿宋" w:hAnsi="仿宋" w:eastAsia="仿宋"/>
          <w:sz w:val="32"/>
          <w:szCs w:val="32"/>
        </w:rPr>
        <w:t xml:space="preserve"> 2760</w:t>
      </w:r>
      <w:r>
        <w:rPr>
          <w:rFonts w:hint="eastAsia" w:ascii="仿宋" w:hAnsi="仿宋" w:eastAsia="仿宋"/>
          <w:sz w:val="32"/>
          <w:szCs w:val="32"/>
        </w:rPr>
        <w:t>-</w:t>
      </w:r>
      <w:r>
        <w:rPr>
          <w:rFonts w:ascii="仿宋" w:hAnsi="仿宋" w:eastAsia="仿宋"/>
          <w:sz w:val="32"/>
          <w:szCs w:val="32"/>
        </w:rPr>
        <w:t>2014）中规定，</w:t>
      </w:r>
      <w:r>
        <w:rPr>
          <w:rFonts w:hint="eastAsia" w:ascii="仿宋" w:hAnsi="仿宋" w:eastAsia="仿宋"/>
          <w:sz w:val="32"/>
          <w:szCs w:val="32"/>
        </w:rPr>
        <w:t>粮食加工品（生湿面制品）</w:t>
      </w:r>
      <w:r>
        <w:rPr>
          <w:rFonts w:ascii="仿宋" w:hAnsi="仿宋" w:eastAsia="仿宋"/>
          <w:sz w:val="32"/>
          <w:szCs w:val="32"/>
        </w:rPr>
        <w:t>中不得使用</w:t>
      </w:r>
      <w:r>
        <w:rPr>
          <w:rFonts w:ascii="仿宋" w:hAnsi="仿宋" w:eastAsia="仿宋" w:cs="Times New Roman"/>
          <w:sz w:val="32"/>
          <w:szCs w:val="32"/>
        </w:rPr>
        <w:t>脱氢乙酸及其钠盐。</w:t>
      </w:r>
      <w:r>
        <w:rPr>
          <w:rFonts w:hint="eastAsia" w:ascii="仿宋" w:hAnsi="仿宋" w:eastAsia="仿宋" w:cs="宋体"/>
          <w:kern w:val="0"/>
          <w:sz w:val="32"/>
          <w:szCs w:val="32"/>
          <w:lang w:val="zh-CN"/>
        </w:rPr>
        <w:t>由于脱氢乙酸可与血浆的白蛋白或组织中蛋白质的胺基结合，如果长期过量食用脱氢乙酸含量超标的食品可能会引起肝、肾和中枢神经系统的损伤。</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3、二氧化硫残留量</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食品中的二氧化硫残留通常是指二氧化硫以及焦亚硫酸钠、焦亚硫酸钾、亚硫酸钠亚硫酸氢钠、低亚硫酸钠等无机亚硫酸盐残留的统称。</w:t>
      </w:r>
      <w:r>
        <w:rPr>
          <w:rFonts w:ascii="仿宋" w:hAnsi="仿宋" w:eastAsia="仿宋"/>
          <w:spacing w:val="14"/>
          <w:sz w:val="32"/>
          <w:szCs w:val="32"/>
        </w:rPr>
        <w:t>《食品安全国家标准 食品添加剂使用标准》</w:t>
      </w:r>
      <w:r>
        <w:rPr>
          <w:rFonts w:ascii="仿宋" w:hAnsi="仿宋" w:eastAsia="仿宋"/>
          <w:spacing w:val="-6"/>
          <w:sz w:val="32"/>
          <w:szCs w:val="32"/>
        </w:rPr>
        <w:t>（GB</w:t>
      </w:r>
      <w:r>
        <w:rPr>
          <w:rFonts w:ascii="仿宋" w:hAnsi="仿宋" w:eastAsia="仿宋"/>
          <w:sz w:val="32"/>
          <w:szCs w:val="32"/>
        </w:rPr>
        <w:t xml:space="preserve"> 2760</w:t>
      </w:r>
      <w:r>
        <w:rPr>
          <w:rFonts w:hint="eastAsia" w:ascii="仿宋" w:hAnsi="仿宋" w:eastAsia="仿宋"/>
          <w:sz w:val="32"/>
          <w:szCs w:val="32"/>
        </w:rPr>
        <w:t>-</w:t>
      </w:r>
      <w:r>
        <w:rPr>
          <w:rFonts w:ascii="仿宋" w:hAnsi="仿宋" w:eastAsia="仿宋"/>
          <w:sz w:val="32"/>
          <w:szCs w:val="32"/>
        </w:rPr>
        <w:t>2014）中规定，</w:t>
      </w:r>
      <w:r>
        <w:rPr>
          <w:rFonts w:hint="eastAsia" w:ascii="仿宋" w:hAnsi="仿宋" w:eastAsia="仿宋"/>
          <w:sz w:val="32"/>
          <w:szCs w:val="32"/>
        </w:rPr>
        <w:t>蔬菜制品</w:t>
      </w:r>
      <w:r>
        <w:rPr>
          <w:rFonts w:ascii="仿宋" w:hAnsi="仿宋" w:eastAsia="仿宋"/>
          <w:sz w:val="32"/>
          <w:szCs w:val="32"/>
        </w:rPr>
        <w:t>（</w:t>
      </w:r>
      <w:r>
        <w:rPr>
          <w:rFonts w:hint="eastAsia" w:ascii="仿宋" w:hAnsi="仿宋" w:eastAsia="仿宋"/>
          <w:sz w:val="32"/>
          <w:szCs w:val="32"/>
        </w:rPr>
        <w:t>腌渍的蔬菜</w:t>
      </w:r>
      <w:r>
        <w:rPr>
          <w:rFonts w:ascii="仿宋" w:hAnsi="仿宋" w:eastAsia="仿宋"/>
          <w:sz w:val="32"/>
          <w:szCs w:val="32"/>
        </w:rPr>
        <w:t>）</w:t>
      </w:r>
      <w:r>
        <w:rPr>
          <w:rFonts w:hint="eastAsia" w:ascii="仿宋" w:hAnsi="仿宋" w:eastAsia="仿宋"/>
          <w:sz w:val="32"/>
          <w:szCs w:val="32"/>
        </w:rPr>
        <w:t>中</w:t>
      </w:r>
      <w:r>
        <w:rPr>
          <w:rFonts w:ascii="仿宋" w:hAnsi="仿宋" w:eastAsia="仿宋"/>
          <w:sz w:val="32"/>
          <w:szCs w:val="32"/>
        </w:rPr>
        <w:t>二氧化硫</w:t>
      </w:r>
      <w:r>
        <w:rPr>
          <w:rFonts w:hint="eastAsia" w:ascii="仿宋" w:hAnsi="仿宋" w:eastAsia="仿宋"/>
          <w:sz w:val="32"/>
          <w:szCs w:val="32"/>
        </w:rPr>
        <w:t>残留量</w:t>
      </w:r>
      <w:r>
        <w:rPr>
          <w:rFonts w:ascii="仿宋" w:hAnsi="仿宋" w:eastAsia="仿宋"/>
          <w:sz w:val="32"/>
          <w:szCs w:val="32"/>
        </w:rPr>
        <w:t>应</w:t>
      </w:r>
      <w:r>
        <w:rPr>
          <w:rFonts w:hint="eastAsia" w:ascii="仿宋" w:hAnsi="仿宋" w:eastAsia="仿宋"/>
          <w:sz w:val="32"/>
          <w:szCs w:val="32"/>
        </w:rPr>
        <w:t>≤0.1g/kg。</w:t>
      </w:r>
      <w:r>
        <w:rPr>
          <w:rFonts w:hint="eastAsia" w:ascii="仿宋" w:hAnsi="仿宋" w:eastAsia="仿宋" w:cs="宋体"/>
          <w:color w:val="000000"/>
          <w:kern w:val="0"/>
          <w:sz w:val="32"/>
          <w:szCs w:val="32"/>
        </w:rPr>
        <w:t>人体摄入的少量二氧化硫和亚硫酸盐会迅速以硫酸盐形式排出体外</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因此二氧化硫和亚硫酸盐的系统性毒性低，在一般食用情况下，不会对人体健康造成不良影响。但对二氧化硫有过敏反应的人（如哮喘病患者等），则可能出现气喘、头痛或恶心等过敏症状。若长期超量摄入二氧化硫，则可能对人体健康造成危害，其毒性表现为胃肠道反应，如恶心、呕吐等。此外，还可影响钙吸收，促进机体钙丢失。</w:t>
      </w:r>
    </w:p>
    <w:p>
      <w:pPr>
        <w:spacing w:line="560" w:lineRule="exact"/>
        <w:ind w:firstLine="643" w:firstLineChars="200"/>
        <w:rPr>
          <w:rFonts w:ascii="楷体" w:hAnsi="楷体" w:eastAsia="楷体"/>
          <w:b/>
          <w:sz w:val="32"/>
          <w:szCs w:val="32"/>
        </w:rPr>
      </w:pPr>
      <w:r>
        <w:rPr>
          <w:rFonts w:hint="eastAsia" w:ascii="楷体" w:hAnsi="楷体" w:eastAsia="楷体" w:cs="宋体"/>
          <w:b/>
          <w:sz w:val="32"/>
          <w:szCs w:val="32"/>
        </w:rPr>
        <w:t>4、</w:t>
      </w:r>
      <w:r>
        <w:rPr>
          <w:rFonts w:hint="eastAsia" w:ascii="仿宋" w:hAnsi="仿宋" w:eastAsia="仿宋" w:cs="宋体"/>
          <w:color w:val="000000"/>
          <w:kern w:val="0"/>
          <w:sz w:val="24"/>
        </w:rPr>
        <w:t xml:space="preserve"> </w:t>
      </w:r>
      <w:r>
        <w:rPr>
          <w:rFonts w:hint="eastAsia" w:ascii="楷体" w:hAnsi="楷体" w:eastAsia="楷体" w:cs="宋体"/>
          <w:b/>
          <w:color w:val="000000"/>
          <w:kern w:val="0"/>
          <w:sz w:val="32"/>
          <w:szCs w:val="32"/>
        </w:rPr>
        <w:t>苯并[a]芘</w:t>
      </w:r>
    </w:p>
    <w:p>
      <w:pPr>
        <w:pStyle w:val="5"/>
        <w:shd w:val="clear" w:color="auto" w:fill="FFFFFF"/>
        <w:spacing w:before="0" w:beforeAutospacing="0" w:after="225" w:afterAutospacing="0" w:line="560" w:lineRule="exact"/>
        <w:ind w:firstLine="480"/>
        <w:rPr>
          <w:rFonts w:ascii="Arial" w:hAnsi="Arial" w:cs="Arial"/>
          <w:color w:val="333333"/>
          <w:sz w:val="21"/>
          <w:szCs w:val="21"/>
        </w:rPr>
      </w:pPr>
      <w:r>
        <w:rPr>
          <w:rFonts w:hint="eastAsia" w:ascii="仿宋" w:hAnsi="仿宋" w:eastAsia="仿宋"/>
          <w:sz w:val="32"/>
          <w:szCs w:val="32"/>
        </w:rPr>
        <w:t>苯并[a]芘</w:t>
      </w:r>
      <w:r>
        <w:rPr>
          <w:rFonts w:hint="eastAsia" w:ascii="仿宋" w:hAnsi="仿宋" w:eastAsia="仿宋" w:cs="仿宋_GB2312"/>
          <w:sz w:val="32"/>
          <w:szCs w:val="32"/>
        </w:rPr>
        <w:t>是一类具有明显致癌作用的有机化合物。食用植物油本身不含或很少含有此类物质，但在加工、运输和烹调过程中可能受到污染。《食品安全国家标准 食品中污染物限量》（</w:t>
      </w:r>
      <w:r>
        <w:rPr>
          <w:rFonts w:ascii="仿宋" w:hAnsi="仿宋" w:eastAsia="仿宋" w:cs="仿宋_GB2312"/>
          <w:sz w:val="32"/>
          <w:szCs w:val="32"/>
        </w:rPr>
        <w:t>GB 2762-2017</w:t>
      </w:r>
      <w:r>
        <w:rPr>
          <w:rFonts w:hint="eastAsia" w:ascii="仿宋" w:hAnsi="仿宋" w:eastAsia="仿宋" w:cs="仿宋_GB2312"/>
          <w:sz w:val="32"/>
          <w:szCs w:val="32"/>
        </w:rPr>
        <w:t>）</w:t>
      </w:r>
      <w:r>
        <w:rPr>
          <w:rFonts w:ascii="仿宋" w:hAnsi="仿宋" w:eastAsia="仿宋"/>
          <w:sz w:val="32"/>
          <w:szCs w:val="32"/>
        </w:rPr>
        <w:t>中规定，</w:t>
      </w:r>
      <w:r>
        <w:rPr>
          <w:rFonts w:hint="eastAsia" w:ascii="仿宋" w:hAnsi="仿宋" w:eastAsia="仿宋"/>
          <w:sz w:val="32"/>
          <w:szCs w:val="32"/>
        </w:rPr>
        <w:t>油脂及其制品中苯并[a]芘应≤10μg/kg。</w:t>
      </w:r>
      <w:r>
        <w:rPr>
          <w:rFonts w:ascii="仿宋" w:hAnsi="仿宋" w:eastAsia="仿宋" w:cs="Arial"/>
          <w:color w:val="333333"/>
          <w:sz w:val="32"/>
          <w:szCs w:val="32"/>
        </w:rPr>
        <w:t>苯并[α]芘在人体中有累积效应，而且也有极强的致癌性</w:t>
      </w:r>
      <w:r>
        <w:rPr>
          <w:rFonts w:hint="eastAsia" w:ascii="仿宋" w:hAnsi="仿宋" w:eastAsia="仿宋" w:cs="Arial"/>
          <w:color w:val="333333"/>
          <w:sz w:val="32"/>
          <w:szCs w:val="32"/>
        </w:rPr>
        <w:t>，</w:t>
      </w:r>
      <w:r>
        <w:rPr>
          <w:rFonts w:hint="eastAsia" w:ascii="仿宋" w:hAnsi="仿宋" w:eastAsia="仿宋"/>
          <w:sz w:val="32"/>
          <w:szCs w:val="32"/>
        </w:rPr>
        <w:t>其</w:t>
      </w:r>
      <w:r>
        <w:rPr>
          <w:rFonts w:ascii="仿宋" w:hAnsi="仿宋" w:eastAsia="仿宋" w:cs="Arial"/>
          <w:color w:val="333333"/>
          <w:sz w:val="32"/>
          <w:szCs w:val="32"/>
          <w:shd w:val="clear" w:color="auto" w:fill="FFFFFF"/>
        </w:rPr>
        <w:t>对眼睛、皮肤有刺激作用</w:t>
      </w:r>
      <w:r>
        <w:rPr>
          <w:rFonts w:hint="eastAsia" w:ascii="仿宋" w:hAnsi="仿宋" w:eastAsia="仿宋" w:cs="Arial"/>
          <w:color w:val="333333"/>
          <w:sz w:val="32"/>
          <w:szCs w:val="32"/>
          <w:shd w:val="clear" w:color="auto" w:fill="FFFFFF"/>
        </w:rPr>
        <w:t>，</w:t>
      </w:r>
      <w:r>
        <w:rPr>
          <w:rFonts w:ascii="仿宋" w:hAnsi="仿宋" w:eastAsia="仿宋" w:cs="Arial"/>
          <w:color w:val="333333"/>
          <w:sz w:val="32"/>
          <w:szCs w:val="32"/>
          <w:shd w:val="clear" w:color="auto" w:fill="FFFFFF"/>
        </w:rPr>
        <w:t>是致癌物、致畸原及诱变剂。</w:t>
      </w:r>
    </w:p>
    <w:p>
      <w:pPr>
        <w:pStyle w:val="13"/>
        <w:spacing w:line="560" w:lineRule="exact"/>
        <w:ind w:firstLine="643" w:firstLineChars="200"/>
        <w:rPr>
          <w:rFonts w:ascii="楷体" w:hAnsi="楷体" w:eastAsia="楷体" w:cs="Times New Roman"/>
          <w:b/>
          <w:color w:val="auto"/>
          <w:kern w:val="2"/>
          <w:sz w:val="32"/>
          <w:szCs w:val="32"/>
        </w:rPr>
      </w:pPr>
      <w:r>
        <w:rPr>
          <w:rFonts w:hint="eastAsia" w:ascii="楷体" w:hAnsi="楷体" w:eastAsia="楷体" w:cs="Times New Roman"/>
          <w:b/>
          <w:color w:val="auto"/>
          <w:kern w:val="2"/>
          <w:sz w:val="32"/>
          <w:szCs w:val="32"/>
        </w:rPr>
        <w:t>5、</w:t>
      </w:r>
      <w:r>
        <w:rPr>
          <w:rFonts w:hint="eastAsia" w:ascii="楷体" w:hAnsi="楷体" w:eastAsia="楷体"/>
          <w:b/>
          <w:sz w:val="32"/>
          <w:szCs w:val="32"/>
        </w:rPr>
        <w:t xml:space="preserve"> 霉菌和酵母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霉菌和酵母是自然界中常见的真菌，在自然界中广泛存在。《食品安全国家标准 食用淀粉》（</w:t>
      </w:r>
      <w:r>
        <w:rPr>
          <w:rFonts w:ascii="仿宋" w:hAnsi="仿宋" w:eastAsia="仿宋"/>
          <w:sz w:val="32"/>
          <w:szCs w:val="32"/>
        </w:rPr>
        <w:t>GB 31637-2016</w:t>
      </w:r>
      <w:r>
        <w:rPr>
          <w:rFonts w:hint="eastAsia" w:ascii="仿宋" w:hAnsi="仿宋" w:eastAsia="仿宋"/>
          <w:sz w:val="32"/>
          <w:szCs w:val="32"/>
        </w:rPr>
        <w:t>）中规定</w:t>
      </w:r>
      <w:r>
        <w:rPr>
          <w:rFonts w:ascii="仿宋" w:hAnsi="仿宋" w:eastAsia="仿宋"/>
          <w:sz w:val="32"/>
          <w:szCs w:val="32"/>
        </w:rPr>
        <w:t>，</w:t>
      </w:r>
      <w:r>
        <w:rPr>
          <w:rFonts w:hint="eastAsia" w:ascii="仿宋" w:hAnsi="仿宋" w:eastAsia="仿宋"/>
          <w:sz w:val="32"/>
          <w:szCs w:val="32"/>
        </w:rPr>
        <w:t>淀粉</w:t>
      </w:r>
      <w:r>
        <w:rPr>
          <w:rFonts w:ascii="仿宋" w:hAnsi="仿宋" w:eastAsia="仿宋"/>
          <w:sz w:val="32"/>
          <w:szCs w:val="32"/>
        </w:rPr>
        <w:t>中的</w:t>
      </w:r>
      <w:r>
        <w:rPr>
          <w:rFonts w:hint="eastAsia" w:ascii="仿宋" w:hAnsi="仿宋" w:eastAsia="仿宋"/>
          <w:sz w:val="32"/>
          <w:szCs w:val="32"/>
        </w:rPr>
        <w:t>霉菌和酵母应≤10</w:t>
      </w:r>
      <w:r>
        <w:rPr>
          <w:rFonts w:hint="eastAsia" w:ascii="仿宋" w:hAnsi="仿宋" w:eastAsia="仿宋"/>
          <w:sz w:val="32"/>
          <w:szCs w:val="32"/>
          <w:vertAlign w:val="superscript"/>
        </w:rPr>
        <w:t>3</w:t>
      </w:r>
      <w:r>
        <w:rPr>
          <w:rFonts w:hint="eastAsia" w:ascii="仿宋" w:hAnsi="仿宋" w:eastAsia="仿宋"/>
          <w:sz w:val="32"/>
          <w:szCs w:val="32"/>
        </w:rPr>
        <w:t>CFU/g。霉菌和酵母污染可使产品腐败变质，破坏产品的色、香、味，降低其食用价值。更重要的是</w:t>
      </w:r>
      <w:r>
        <w:rPr>
          <w:rFonts w:hint="eastAsia" w:ascii="仿宋" w:hAnsi="仿宋" w:eastAsia="仿宋" w:cs="宋体"/>
          <w:kern w:val="0"/>
          <w:sz w:val="32"/>
          <w:szCs w:val="32"/>
          <w:lang w:val="zh-CN"/>
        </w:rPr>
        <w:t>霉菌产生的有毒代谢产物霉菌毒素引起人畜中毒。</w:t>
      </w:r>
    </w:p>
    <w:p>
      <w:pPr>
        <w:spacing w:line="560" w:lineRule="exact"/>
        <w:ind w:firstLine="643" w:firstLineChars="200"/>
        <w:rPr>
          <w:rFonts w:ascii="楷体" w:hAnsi="楷体" w:eastAsia="楷体" w:cs="宋体"/>
          <w:b/>
          <w:sz w:val="32"/>
          <w:szCs w:val="32"/>
        </w:rPr>
      </w:pPr>
      <w:r>
        <w:rPr>
          <w:rFonts w:hint="eastAsia" w:ascii="楷体" w:hAnsi="楷体" w:eastAsia="楷体" w:cs="宋体"/>
          <w:b/>
          <w:sz w:val="32"/>
          <w:szCs w:val="32"/>
          <w:lang w:val="en-US" w:eastAsia="zh-CN"/>
        </w:rPr>
        <w:t>6</w:t>
      </w:r>
      <w:r>
        <w:rPr>
          <w:rFonts w:hint="eastAsia" w:ascii="楷体" w:hAnsi="楷体" w:eastAsia="楷体" w:cs="宋体"/>
          <w:b/>
          <w:sz w:val="32"/>
          <w:szCs w:val="32"/>
        </w:rPr>
        <w:t>、水分</w:t>
      </w:r>
    </w:p>
    <w:p>
      <w:pPr>
        <w:spacing w:line="560" w:lineRule="exact"/>
        <w:ind w:firstLine="640" w:firstLineChars="200"/>
        <w:rPr>
          <w:rFonts w:ascii="仿宋" w:hAnsi="仿宋" w:eastAsia="仿宋" w:cs="宋体"/>
          <w:sz w:val="32"/>
          <w:szCs w:val="32"/>
        </w:rPr>
      </w:pPr>
      <w:r>
        <w:rPr>
          <w:rFonts w:ascii="仿宋" w:hAnsi="仿宋" w:eastAsia="仿宋"/>
          <w:sz w:val="32"/>
          <w:szCs w:val="32"/>
        </w:rPr>
        <w:t>水分是间接反映食品卫生质量的指标，食品中水分含量的多少，直接影响食品的感官性状，影响胶体状态的形成和稳定。控制食品水分的含量，可防止食品的腐败变质和营养成分的水解。</w:t>
      </w:r>
      <w:r>
        <w:rPr>
          <w:rFonts w:hint="eastAsia" w:ascii="仿宋" w:hAnsi="仿宋" w:eastAsia="仿宋"/>
          <w:sz w:val="32"/>
          <w:szCs w:val="32"/>
        </w:rPr>
        <w:t>《食品安全国家标准 膨化食品》（</w:t>
      </w:r>
      <w:r>
        <w:rPr>
          <w:rFonts w:ascii="仿宋" w:hAnsi="仿宋" w:eastAsia="仿宋"/>
          <w:sz w:val="32"/>
          <w:szCs w:val="32"/>
        </w:rPr>
        <w:t>GB 17401-2014</w:t>
      </w:r>
      <w:r>
        <w:rPr>
          <w:rFonts w:hint="eastAsia" w:ascii="仿宋" w:hAnsi="仿宋" w:eastAsia="仿宋"/>
          <w:sz w:val="32"/>
          <w:szCs w:val="32"/>
        </w:rPr>
        <w:t>）中规定，含油型膨化食品</w:t>
      </w:r>
      <w:r>
        <w:rPr>
          <w:rFonts w:ascii="仿宋" w:hAnsi="仿宋" w:eastAsia="仿宋"/>
          <w:sz w:val="32"/>
          <w:szCs w:val="32"/>
        </w:rPr>
        <w:t>的水分应</w:t>
      </w:r>
      <w:r>
        <w:rPr>
          <w:rFonts w:hint="eastAsia" w:ascii="仿宋" w:hAnsi="仿宋" w:eastAsia="仿宋"/>
          <w:sz w:val="32"/>
          <w:szCs w:val="32"/>
        </w:rPr>
        <w:t>≤7g/100g。食品水分不合格并不会对人体产生</w:t>
      </w:r>
      <w:r>
        <w:rPr>
          <w:rFonts w:ascii="仿宋" w:hAnsi="仿宋" w:eastAsia="仿宋"/>
          <w:sz w:val="32"/>
          <w:szCs w:val="32"/>
        </w:rPr>
        <w:t>危害，但</w:t>
      </w:r>
      <w:r>
        <w:rPr>
          <w:rFonts w:hint="eastAsia" w:ascii="仿宋" w:hAnsi="仿宋" w:eastAsia="仿宋"/>
          <w:sz w:val="32"/>
          <w:szCs w:val="32"/>
        </w:rPr>
        <w:t>会</w:t>
      </w:r>
      <w:r>
        <w:rPr>
          <w:rFonts w:ascii="仿宋" w:hAnsi="仿宋" w:eastAsia="仿宋"/>
          <w:sz w:val="32"/>
          <w:szCs w:val="32"/>
        </w:rPr>
        <w:t>使该食品</w:t>
      </w:r>
      <w:r>
        <w:rPr>
          <w:rFonts w:hint="eastAsia" w:ascii="仿宋" w:hAnsi="仿宋" w:eastAsia="仿宋"/>
          <w:sz w:val="32"/>
          <w:szCs w:val="32"/>
        </w:rPr>
        <w:t>感官</w:t>
      </w:r>
      <w:r>
        <w:rPr>
          <w:rFonts w:ascii="仿宋" w:hAnsi="仿宋" w:eastAsia="仿宋"/>
          <w:sz w:val="32"/>
          <w:szCs w:val="32"/>
        </w:rPr>
        <w:t>品质受到影响</w:t>
      </w:r>
      <w:r>
        <w:rPr>
          <w:rFonts w:hint="eastAsia" w:ascii="仿宋" w:hAnsi="仿宋" w:eastAsia="仿宋"/>
          <w:sz w:val="32"/>
          <w:szCs w:val="32"/>
        </w:rPr>
        <w:t>，严重时也可导致食品腐败变质。</w:t>
      </w:r>
    </w:p>
    <w:p>
      <w:pPr>
        <w:spacing w:line="560" w:lineRule="exact"/>
        <w:ind w:firstLine="643" w:firstLineChars="200"/>
        <w:rPr>
          <w:rFonts w:ascii="楷体" w:hAnsi="楷体" w:eastAsia="楷体"/>
          <w:b/>
          <w:sz w:val="32"/>
          <w:szCs w:val="32"/>
        </w:rPr>
      </w:pPr>
      <w:r>
        <w:rPr>
          <w:rFonts w:hint="eastAsia" w:ascii="楷体" w:hAnsi="楷体" w:eastAsia="楷体" w:cs="宋体"/>
          <w:b/>
          <w:kern w:val="0"/>
          <w:sz w:val="32"/>
          <w:szCs w:val="32"/>
          <w:lang w:val="en-US" w:eastAsia="zh-CN"/>
        </w:rPr>
        <w:t>7</w:t>
      </w:r>
      <w:bookmarkStart w:id="1" w:name="_GoBack"/>
      <w:bookmarkEnd w:id="1"/>
      <w:r>
        <w:rPr>
          <w:rFonts w:hint="eastAsia" w:ascii="楷体" w:hAnsi="楷体" w:eastAsia="楷体" w:cs="宋体"/>
          <w:b/>
          <w:kern w:val="0"/>
          <w:sz w:val="32"/>
          <w:szCs w:val="32"/>
          <w:lang w:val="zh-CN"/>
        </w:rPr>
        <w:t>、</w:t>
      </w:r>
      <w:r>
        <w:rPr>
          <w:rFonts w:hint="eastAsia" w:ascii="楷体" w:hAnsi="楷体" w:eastAsia="楷体" w:cs="宋体"/>
          <w:b/>
          <w:color w:val="000000"/>
          <w:kern w:val="0"/>
          <w:sz w:val="32"/>
          <w:szCs w:val="32"/>
        </w:rPr>
        <w:t>色值</w:t>
      </w:r>
    </w:p>
    <w:p>
      <w:pPr>
        <w:spacing w:line="560" w:lineRule="exact"/>
        <w:ind w:firstLine="640" w:firstLineChars="200"/>
        <w:rPr>
          <w:rFonts w:ascii="仿宋" w:hAnsi="仿宋" w:eastAsia="仿宋"/>
          <w:sz w:val="32"/>
          <w:szCs w:val="32"/>
        </w:rPr>
      </w:pPr>
      <w:r>
        <w:rPr>
          <w:rFonts w:ascii="仿宋" w:hAnsi="仿宋" w:eastAsia="仿宋"/>
          <w:sz w:val="32"/>
          <w:szCs w:val="32"/>
        </w:rPr>
        <w:t>色值是食糖的品质指标之一，是白砂糖、绵白糖、冰糖等质量等级划分的主要依据之一，它主要影响糖品的外观，是杂质多少的一种反映，也是生产工艺水平的一种体现。国家标准《白砂糖》（GB/T 317-2018）中规定一级白砂糖的色值</w:t>
      </w:r>
      <w:r>
        <w:rPr>
          <w:rFonts w:hint="eastAsia" w:ascii="仿宋" w:hAnsi="仿宋" w:eastAsia="仿宋"/>
          <w:sz w:val="32"/>
          <w:szCs w:val="32"/>
        </w:rPr>
        <w:t>应≤</w:t>
      </w:r>
      <w:r>
        <w:rPr>
          <w:rFonts w:ascii="仿宋" w:hAnsi="仿宋" w:eastAsia="仿宋"/>
          <w:sz w:val="32"/>
          <w:szCs w:val="32"/>
        </w:rPr>
        <w:t>150IU</w:t>
      </w:r>
      <w:r>
        <w:rPr>
          <w:rFonts w:hint="eastAsia" w:ascii="仿宋" w:hAnsi="仿宋" w:eastAsia="仿宋"/>
          <w:sz w:val="32"/>
          <w:szCs w:val="32"/>
        </w:rPr>
        <w:t>。食糖</w:t>
      </w:r>
      <w:r>
        <w:rPr>
          <w:rFonts w:ascii="仿宋" w:hAnsi="仿宋" w:eastAsia="仿宋"/>
          <w:sz w:val="32"/>
          <w:szCs w:val="32"/>
        </w:rPr>
        <w:t>色值</w:t>
      </w:r>
      <w:r>
        <w:rPr>
          <w:rFonts w:hint="eastAsia" w:ascii="仿宋" w:hAnsi="仿宋" w:eastAsia="仿宋"/>
          <w:sz w:val="32"/>
          <w:szCs w:val="32"/>
        </w:rPr>
        <w:t>不达标会影响食糖的品质，表明</w:t>
      </w:r>
      <w:r>
        <w:rPr>
          <w:rFonts w:ascii="仿宋" w:hAnsi="仿宋" w:eastAsia="仿宋"/>
          <w:sz w:val="32"/>
          <w:szCs w:val="32"/>
        </w:rPr>
        <w:t>食糖等级不达标，</w:t>
      </w:r>
      <w:r>
        <w:rPr>
          <w:rFonts w:hint="eastAsia" w:ascii="仿宋" w:hAnsi="仿宋" w:eastAsia="仿宋"/>
          <w:sz w:val="32"/>
          <w:szCs w:val="32"/>
        </w:rPr>
        <w:t>此外由于产品实际等级与明示指标不符也可能对消费者构成欺骗行为。</w:t>
      </w:r>
    </w:p>
    <w:p>
      <w:pPr>
        <w:spacing w:line="560" w:lineRule="exact"/>
        <w:ind w:firstLine="643" w:firstLineChars="200"/>
        <w:jc w:val="left"/>
        <w:rPr>
          <w:rFonts w:ascii="黑体" w:hAnsi="黑体" w:eastAsia="黑体" w:cs="仿宋_GB2312"/>
          <w:b/>
          <w:sz w:val="32"/>
          <w:szCs w:val="32"/>
        </w:rPr>
      </w:pPr>
      <w:r>
        <w:rPr>
          <w:rFonts w:hint="eastAsia" w:ascii="黑体" w:hAnsi="黑体" w:eastAsia="黑体" w:cs="仿宋_GB2312"/>
          <w:b/>
          <w:sz w:val="32"/>
          <w:szCs w:val="32"/>
        </w:rPr>
        <w:t>二、建议</w:t>
      </w:r>
    </w:p>
    <w:p>
      <w:pPr>
        <w:pStyle w:val="5"/>
        <w:shd w:val="clear" w:color="auto" w:fill="FFFFFF"/>
        <w:spacing w:before="0" w:beforeAutospacing="0" w:after="0" w:afterAutospacing="0" w:line="560" w:lineRule="exact"/>
        <w:ind w:firstLine="803" w:firstLineChars="250"/>
        <w:rPr>
          <w:rStyle w:val="7"/>
          <w:rFonts w:ascii="楷体" w:hAnsi="楷体" w:eastAsia="楷体"/>
          <w:color w:val="2B2B2B"/>
          <w:sz w:val="32"/>
          <w:szCs w:val="32"/>
        </w:rPr>
      </w:pPr>
      <w:r>
        <w:rPr>
          <w:rStyle w:val="7"/>
          <w:rFonts w:hint="eastAsia" w:ascii="楷体" w:hAnsi="楷体" w:eastAsia="楷体"/>
          <w:color w:val="2B2B2B"/>
          <w:sz w:val="32"/>
          <w:szCs w:val="32"/>
        </w:rPr>
        <w:t>1.严格把关食品及原材料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食品生产经营者应当建立食品进货查验记录和索证索票制度，如实记录食品的生产批号、保质期、供货者名称及联系方式、进货日期等内容，并查验供货者的许可证和包含必要检测项目的食品合格证明文件，必要时可将产品送检。</w:t>
      </w:r>
    </w:p>
    <w:p>
      <w:pPr>
        <w:pStyle w:val="5"/>
        <w:shd w:val="clear" w:color="auto" w:fill="FFFFFF"/>
        <w:spacing w:before="0" w:beforeAutospacing="0" w:after="0" w:afterAutospacing="0" w:line="560" w:lineRule="exact"/>
        <w:ind w:firstLine="803" w:firstLineChars="250"/>
        <w:rPr>
          <w:rStyle w:val="7"/>
          <w:rFonts w:ascii="楷体" w:hAnsi="楷体" w:eastAsia="楷体"/>
          <w:sz w:val="32"/>
          <w:szCs w:val="32"/>
        </w:rPr>
      </w:pPr>
      <w:r>
        <w:rPr>
          <w:rStyle w:val="7"/>
          <w:rFonts w:hint="eastAsia" w:ascii="楷体" w:hAnsi="楷体" w:eastAsia="楷体"/>
          <w:sz w:val="32"/>
          <w:szCs w:val="32"/>
        </w:rPr>
        <w:t>2.加强生产加工过程的质量控制</w:t>
      </w:r>
    </w:p>
    <w:p>
      <w:pPr>
        <w:numPr>
          <w:ilvl w:val="255"/>
          <w:numId w:val="0"/>
        </w:num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食品生产经营者应加强生产加工过程中的工艺控制，严格落实食品加工温度和食品储存条件的要求，合理使用食品添加剂，定期对食品生产加工的</w:t>
      </w:r>
      <w:r>
        <w:rPr>
          <w:rFonts w:hint="eastAsia" w:eastAsia="仿宋_GB2312"/>
          <w:sz w:val="32"/>
          <w:szCs w:val="32"/>
        </w:rPr>
        <w:t>环境和设施进行消毒、清洁</w:t>
      </w:r>
      <w:r>
        <w:rPr>
          <w:rFonts w:hint="eastAsia" w:ascii="仿宋" w:hAnsi="仿宋" w:eastAsia="仿宋" w:cs="宋体"/>
          <w:kern w:val="0"/>
          <w:sz w:val="32"/>
          <w:szCs w:val="32"/>
        </w:rPr>
        <w:t>。</w:t>
      </w:r>
    </w:p>
    <w:p>
      <w:pPr>
        <w:pStyle w:val="5"/>
        <w:shd w:val="clear" w:color="auto" w:fill="FFFFFF"/>
        <w:spacing w:before="0" w:beforeAutospacing="0" w:after="0" w:afterAutospacing="0" w:line="560" w:lineRule="exact"/>
        <w:ind w:firstLine="643" w:firstLineChars="200"/>
        <w:rPr>
          <w:rStyle w:val="7"/>
          <w:rFonts w:ascii="楷体" w:hAnsi="楷体" w:eastAsia="楷体"/>
          <w:color w:val="2B2B2B"/>
          <w:sz w:val="32"/>
          <w:szCs w:val="32"/>
        </w:rPr>
      </w:pPr>
      <w:r>
        <w:rPr>
          <w:rStyle w:val="7"/>
          <w:rFonts w:hint="eastAsia" w:ascii="楷体" w:hAnsi="楷体" w:eastAsia="楷体"/>
          <w:color w:val="2B2B2B"/>
          <w:sz w:val="32"/>
          <w:szCs w:val="32"/>
        </w:rPr>
        <w:t>3</w:t>
      </w:r>
      <w:bookmarkStart w:id="0" w:name="OLE_LINK1"/>
      <w:r>
        <w:rPr>
          <w:rStyle w:val="7"/>
          <w:rFonts w:hint="eastAsia" w:ascii="楷体" w:hAnsi="楷体" w:eastAsia="楷体"/>
          <w:color w:val="2B2B2B"/>
          <w:sz w:val="32"/>
          <w:szCs w:val="32"/>
        </w:rPr>
        <w:t>.加强食品从业人员的培训</w:t>
      </w:r>
      <w:bookmarkEnd w:id="0"/>
    </w:p>
    <w:p>
      <w:pPr>
        <w:pStyle w:val="5"/>
        <w:shd w:val="clear" w:color="auto" w:fill="FFFFFF"/>
        <w:spacing w:before="0" w:beforeAutospacing="0" w:after="0" w:afterAutospacing="0" w:line="560" w:lineRule="exact"/>
        <w:ind w:firstLine="640" w:firstLineChars="200"/>
        <w:rPr>
          <w:rFonts w:ascii="仿宋" w:hAnsi="仿宋" w:eastAsia="仿宋"/>
          <w:color w:val="2B2B2B"/>
          <w:sz w:val="32"/>
          <w:szCs w:val="32"/>
        </w:rPr>
      </w:pPr>
      <w:r>
        <w:rPr>
          <w:rFonts w:hint="eastAsia" w:ascii="仿宋" w:hAnsi="仿宋" w:eastAsia="仿宋"/>
          <w:sz w:val="32"/>
          <w:szCs w:val="32"/>
        </w:rPr>
        <w:t>食品生产经营企业</w:t>
      </w:r>
      <w:r>
        <w:rPr>
          <w:rFonts w:ascii="仿宋" w:hAnsi="仿宋" w:eastAsia="仿宋"/>
          <w:sz w:val="32"/>
          <w:szCs w:val="32"/>
        </w:rPr>
        <w:t>应建立相关岗位的培训制度，</w:t>
      </w:r>
      <w:r>
        <w:rPr>
          <w:rFonts w:hint="eastAsia" w:ascii="仿宋" w:hAnsi="仿宋" w:eastAsia="仿宋"/>
          <w:sz w:val="32"/>
          <w:szCs w:val="32"/>
        </w:rPr>
        <w:t>加强日常监管及培训，</w:t>
      </w:r>
      <w:r>
        <w:rPr>
          <w:rFonts w:ascii="仿宋" w:hAnsi="仿宋" w:eastAsia="仿宋"/>
          <w:sz w:val="32"/>
          <w:szCs w:val="32"/>
        </w:rPr>
        <w:t>对食品加工人员以及相关岗位的从业人员进行相应的食品安全知识培训</w:t>
      </w:r>
      <w:r>
        <w:rPr>
          <w:rFonts w:hint="eastAsia" w:ascii="仿宋" w:hAnsi="仿宋" w:eastAsia="仿宋"/>
          <w:sz w:val="32"/>
          <w:szCs w:val="32"/>
        </w:rPr>
        <w:t>，</w:t>
      </w:r>
      <w:r>
        <w:rPr>
          <w:rFonts w:hint="eastAsia" w:ascii="仿宋" w:hAnsi="仿宋" w:eastAsia="仿宋" w:cs="仿宋"/>
          <w:snapToGrid w:val="0"/>
          <w:sz w:val="32"/>
        </w:rPr>
        <w:t>提高食品从业人员的食品安全意识和维护食品安全能力</w:t>
      </w:r>
      <w:r>
        <w:rPr>
          <w:rFonts w:ascii="仿宋" w:hAnsi="仿宋" w:eastAsia="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0D71"/>
    <w:rsid w:val="0001248C"/>
    <w:rsid w:val="00023D16"/>
    <w:rsid w:val="00032538"/>
    <w:rsid w:val="00035BF4"/>
    <w:rsid w:val="00040D71"/>
    <w:rsid w:val="00044B2D"/>
    <w:rsid w:val="0004778C"/>
    <w:rsid w:val="000518A7"/>
    <w:rsid w:val="00071380"/>
    <w:rsid w:val="00073BFA"/>
    <w:rsid w:val="00074F6A"/>
    <w:rsid w:val="000D0EA8"/>
    <w:rsid w:val="000D555F"/>
    <w:rsid w:val="000D6FFE"/>
    <w:rsid w:val="000F5F41"/>
    <w:rsid w:val="00102A23"/>
    <w:rsid w:val="00117748"/>
    <w:rsid w:val="00117D05"/>
    <w:rsid w:val="001345A3"/>
    <w:rsid w:val="001372D9"/>
    <w:rsid w:val="00160E55"/>
    <w:rsid w:val="001618B6"/>
    <w:rsid w:val="0017157D"/>
    <w:rsid w:val="0019148B"/>
    <w:rsid w:val="001A2AAA"/>
    <w:rsid w:val="001B4BBC"/>
    <w:rsid w:val="001F221F"/>
    <w:rsid w:val="001F4A92"/>
    <w:rsid w:val="002178AC"/>
    <w:rsid w:val="002200B2"/>
    <w:rsid w:val="002349E5"/>
    <w:rsid w:val="00242A69"/>
    <w:rsid w:val="002671C8"/>
    <w:rsid w:val="00277FEA"/>
    <w:rsid w:val="00287612"/>
    <w:rsid w:val="002940D0"/>
    <w:rsid w:val="0029681F"/>
    <w:rsid w:val="002B5671"/>
    <w:rsid w:val="002D2260"/>
    <w:rsid w:val="002D5CDC"/>
    <w:rsid w:val="002D7D42"/>
    <w:rsid w:val="002E1A9A"/>
    <w:rsid w:val="002E7121"/>
    <w:rsid w:val="002E7A60"/>
    <w:rsid w:val="00302840"/>
    <w:rsid w:val="003145EC"/>
    <w:rsid w:val="00332A02"/>
    <w:rsid w:val="0036094B"/>
    <w:rsid w:val="0036358C"/>
    <w:rsid w:val="003A105E"/>
    <w:rsid w:val="003A7456"/>
    <w:rsid w:val="003F2E05"/>
    <w:rsid w:val="00404951"/>
    <w:rsid w:val="00407D6D"/>
    <w:rsid w:val="00423F19"/>
    <w:rsid w:val="004432E7"/>
    <w:rsid w:val="00445FF9"/>
    <w:rsid w:val="00474153"/>
    <w:rsid w:val="00485C2D"/>
    <w:rsid w:val="00495C32"/>
    <w:rsid w:val="004A4837"/>
    <w:rsid w:val="004B4C82"/>
    <w:rsid w:val="004C426F"/>
    <w:rsid w:val="004C4885"/>
    <w:rsid w:val="004E4404"/>
    <w:rsid w:val="004F6ABF"/>
    <w:rsid w:val="005023CC"/>
    <w:rsid w:val="00512C0F"/>
    <w:rsid w:val="00514C4D"/>
    <w:rsid w:val="00524190"/>
    <w:rsid w:val="005263C4"/>
    <w:rsid w:val="00527A95"/>
    <w:rsid w:val="00544656"/>
    <w:rsid w:val="005713C7"/>
    <w:rsid w:val="0057278A"/>
    <w:rsid w:val="0058383A"/>
    <w:rsid w:val="00584DA5"/>
    <w:rsid w:val="00591E9F"/>
    <w:rsid w:val="00592261"/>
    <w:rsid w:val="005975B9"/>
    <w:rsid w:val="005B6012"/>
    <w:rsid w:val="005C0AD5"/>
    <w:rsid w:val="005C4414"/>
    <w:rsid w:val="005E2AE0"/>
    <w:rsid w:val="005E69BF"/>
    <w:rsid w:val="00601A31"/>
    <w:rsid w:val="00602933"/>
    <w:rsid w:val="006122F4"/>
    <w:rsid w:val="0065490E"/>
    <w:rsid w:val="00676A61"/>
    <w:rsid w:val="0068726E"/>
    <w:rsid w:val="00694B5D"/>
    <w:rsid w:val="006C33F5"/>
    <w:rsid w:val="006E4A25"/>
    <w:rsid w:val="006E5453"/>
    <w:rsid w:val="006E7453"/>
    <w:rsid w:val="00700D7B"/>
    <w:rsid w:val="00704ED0"/>
    <w:rsid w:val="0071410F"/>
    <w:rsid w:val="00726271"/>
    <w:rsid w:val="007354F0"/>
    <w:rsid w:val="007365B5"/>
    <w:rsid w:val="00737040"/>
    <w:rsid w:val="00741414"/>
    <w:rsid w:val="007524FB"/>
    <w:rsid w:val="00755610"/>
    <w:rsid w:val="00757F5B"/>
    <w:rsid w:val="00790B1D"/>
    <w:rsid w:val="00793F65"/>
    <w:rsid w:val="007A4823"/>
    <w:rsid w:val="007A4C53"/>
    <w:rsid w:val="007B2714"/>
    <w:rsid w:val="007B4E41"/>
    <w:rsid w:val="007C05E7"/>
    <w:rsid w:val="007C6B7A"/>
    <w:rsid w:val="007D07B1"/>
    <w:rsid w:val="007E7EDB"/>
    <w:rsid w:val="007F407E"/>
    <w:rsid w:val="007F56B0"/>
    <w:rsid w:val="00803608"/>
    <w:rsid w:val="00810A1F"/>
    <w:rsid w:val="008156E7"/>
    <w:rsid w:val="008179CB"/>
    <w:rsid w:val="00821662"/>
    <w:rsid w:val="0083040C"/>
    <w:rsid w:val="008319CA"/>
    <w:rsid w:val="0085551D"/>
    <w:rsid w:val="00867C6A"/>
    <w:rsid w:val="00871259"/>
    <w:rsid w:val="00872500"/>
    <w:rsid w:val="00872720"/>
    <w:rsid w:val="00873E30"/>
    <w:rsid w:val="0087447C"/>
    <w:rsid w:val="008919B2"/>
    <w:rsid w:val="0089786F"/>
    <w:rsid w:val="008B017B"/>
    <w:rsid w:val="008B13F5"/>
    <w:rsid w:val="008D07CB"/>
    <w:rsid w:val="008D4BC1"/>
    <w:rsid w:val="008D5C01"/>
    <w:rsid w:val="00905A3D"/>
    <w:rsid w:val="00970598"/>
    <w:rsid w:val="00976894"/>
    <w:rsid w:val="00980983"/>
    <w:rsid w:val="009A140A"/>
    <w:rsid w:val="009C1EF6"/>
    <w:rsid w:val="009C47C2"/>
    <w:rsid w:val="009E04DF"/>
    <w:rsid w:val="009E360E"/>
    <w:rsid w:val="00A12E98"/>
    <w:rsid w:val="00A27910"/>
    <w:rsid w:val="00A66D3F"/>
    <w:rsid w:val="00A671ED"/>
    <w:rsid w:val="00A83EDB"/>
    <w:rsid w:val="00A85E52"/>
    <w:rsid w:val="00AA27AC"/>
    <w:rsid w:val="00AA7D57"/>
    <w:rsid w:val="00AD22BB"/>
    <w:rsid w:val="00AE06A9"/>
    <w:rsid w:val="00AE13F1"/>
    <w:rsid w:val="00AE6354"/>
    <w:rsid w:val="00AE756C"/>
    <w:rsid w:val="00B0198F"/>
    <w:rsid w:val="00B3155E"/>
    <w:rsid w:val="00B3617A"/>
    <w:rsid w:val="00B638E5"/>
    <w:rsid w:val="00B85427"/>
    <w:rsid w:val="00B979A2"/>
    <w:rsid w:val="00BA32AF"/>
    <w:rsid w:val="00BC393B"/>
    <w:rsid w:val="00BC662E"/>
    <w:rsid w:val="00C56590"/>
    <w:rsid w:val="00C6247E"/>
    <w:rsid w:val="00C853BB"/>
    <w:rsid w:val="00C86042"/>
    <w:rsid w:val="00C86FAC"/>
    <w:rsid w:val="00C87027"/>
    <w:rsid w:val="00C87E60"/>
    <w:rsid w:val="00C92CD1"/>
    <w:rsid w:val="00CA7023"/>
    <w:rsid w:val="00CB1E1A"/>
    <w:rsid w:val="00CB4C48"/>
    <w:rsid w:val="00CC7CDD"/>
    <w:rsid w:val="00CD7853"/>
    <w:rsid w:val="00CE0E6E"/>
    <w:rsid w:val="00CF1B62"/>
    <w:rsid w:val="00CF1C6C"/>
    <w:rsid w:val="00CF543D"/>
    <w:rsid w:val="00D16F6F"/>
    <w:rsid w:val="00D1798E"/>
    <w:rsid w:val="00D26DFF"/>
    <w:rsid w:val="00D33EE3"/>
    <w:rsid w:val="00D473CF"/>
    <w:rsid w:val="00D522FB"/>
    <w:rsid w:val="00D549B2"/>
    <w:rsid w:val="00D646C5"/>
    <w:rsid w:val="00D71FA2"/>
    <w:rsid w:val="00D8340D"/>
    <w:rsid w:val="00D86350"/>
    <w:rsid w:val="00D960D9"/>
    <w:rsid w:val="00DC13BB"/>
    <w:rsid w:val="00DC62EC"/>
    <w:rsid w:val="00DC6BDE"/>
    <w:rsid w:val="00DC7BB8"/>
    <w:rsid w:val="00DD32AC"/>
    <w:rsid w:val="00DD5A81"/>
    <w:rsid w:val="00DE2E9C"/>
    <w:rsid w:val="00E07CFF"/>
    <w:rsid w:val="00E16D3B"/>
    <w:rsid w:val="00E20FBC"/>
    <w:rsid w:val="00E305C3"/>
    <w:rsid w:val="00E44B2E"/>
    <w:rsid w:val="00E66FE2"/>
    <w:rsid w:val="00E71733"/>
    <w:rsid w:val="00E909C2"/>
    <w:rsid w:val="00E95597"/>
    <w:rsid w:val="00EA019F"/>
    <w:rsid w:val="00EB4E58"/>
    <w:rsid w:val="00EB79C5"/>
    <w:rsid w:val="00EC0ECC"/>
    <w:rsid w:val="00EC277A"/>
    <w:rsid w:val="00ED1A68"/>
    <w:rsid w:val="00ED515D"/>
    <w:rsid w:val="00EF4553"/>
    <w:rsid w:val="00F022B5"/>
    <w:rsid w:val="00F20BB3"/>
    <w:rsid w:val="00F21D54"/>
    <w:rsid w:val="00F22854"/>
    <w:rsid w:val="00F7406E"/>
    <w:rsid w:val="00F741FF"/>
    <w:rsid w:val="00F841CE"/>
    <w:rsid w:val="00F84553"/>
    <w:rsid w:val="00F936C3"/>
    <w:rsid w:val="00F9417C"/>
    <w:rsid w:val="00FA60DD"/>
    <w:rsid w:val="00FB5F82"/>
    <w:rsid w:val="00FC61C6"/>
    <w:rsid w:val="07D80F98"/>
    <w:rsid w:val="08B63E69"/>
    <w:rsid w:val="17A31B54"/>
    <w:rsid w:val="1EB22B9E"/>
    <w:rsid w:val="2098075B"/>
    <w:rsid w:val="34676C84"/>
    <w:rsid w:val="36E62DB9"/>
    <w:rsid w:val="3CAC2FC7"/>
    <w:rsid w:val="7B1A31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 w:type="paragraph" w:customStyle="1" w:styleId="13">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DD9055-F30E-4265-BE3D-06CAC609A2F2}">
  <ds:schemaRefs/>
</ds:datastoreItem>
</file>

<file path=docProps/app.xml><?xml version="1.0" encoding="utf-8"?>
<Properties xmlns="http://schemas.openxmlformats.org/officeDocument/2006/extended-properties" xmlns:vt="http://schemas.openxmlformats.org/officeDocument/2006/docPropsVTypes">
  <Template>Normal</Template>
  <Pages>4</Pages>
  <Words>285</Words>
  <Characters>1626</Characters>
  <Lines>13</Lines>
  <Paragraphs>3</Paragraphs>
  <TotalTime>479</TotalTime>
  <ScaleCrop>false</ScaleCrop>
  <LinksUpToDate>false</LinksUpToDate>
  <CharactersWithSpaces>1908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2018-04-04T05:56:00Z</dcterms:created>
  <dc:creator>test</dc:creator>
  <cp:lastModifiedBy>雅雯</cp:lastModifiedBy>
  <dcterms:modified xsi:type="dcterms:W3CDTF">2019-01-17T07:04:22Z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