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7C" w:rsidRPr="00FC3D3E" w:rsidRDefault="00B90160">
      <w:pPr>
        <w:ind w:firstLineChars="0" w:firstLine="0"/>
        <w:rPr>
          <w:rFonts w:ascii="黑体" w:eastAsia="黑体" w:hAnsi="黑体"/>
          <w:szCs w:val="32"/>
        </w:rPr>
      </w:pPr>
      <w:r w:rsidRPr="00FC3D3E">
        <w:rPr>
          <w:rFonts w:ascii="黑体" w:eastAsia="黑体" w:hAnsi="黑体" w:hint="eastAsia"/>
          <w:szCs w:val="32"/>
        </w:rPr>
        <w:t xml:space="preserve">附件2 </w:t>
      </w:r>
    </w:p>
    <w:p w:rsidR="00F35797" w:rsidRDefault="00B90160" w:rsidP="00901EF9">
      <w:pPr>
        <w:snapToGrid w:val="0"/>
        <w:spacing w:beforeLines="200" w:afterLines="100"/>
        <w:ind w:firstLineChars="0" w:firstLine="0"/>
        <w:jc w:val="center"/>
        <w:rPr>
          <w:rFonts w:ascii="华文中宋" w:eastAsia="华文中宋" w:hAnsi="华文中宋"/>
          <w:b/>
          <w:sz w:val="44"/>
          <w:szCs w:val="44"/>
        </w:rPr>
      </w:pPr>
      <w:r>
        <w:rPr>
          <w:rFonts w:ascii="华文中宋" w:eastAsia="华文中宋" w:hAnsi="华文中宋" w:hint="eastAsia"/>
          <w:b/>
          <w:sz w:val="44"/>
          <w:szCs w:val="44"/>
        </w:rPr>
        <w:t>《深圳市市场监督管理局关于先行发布</w:t>
      </w:r>
      <w:r>
        <w:rPr>
          <w:rFonts w:ascii="华文中宋" w:eastAsia="华文中宋" w:hAnsi="华文中宋"/>
          <w:b/>
          <w:sz w:val="44"/>
          <w:szCs w:val="44"/>
        </w:rPr>
        <w:br/>
      </w:r>
      <w:r>
        <w:rPr>
          <w:rFonts w:ascii="华文中宋" w:eastAsia="华文中宋" w:hAnsi="华文中宋" w:hint="eastAsia"/>
          <w:b/>
          <w:sz w:val="44"/>
          <w:szCs w:val="44"/>
        </w:rPr>
        <w:t>知识产权行政禁令的规定（试行）（征求意见稿）》起草说明</w:t>
      </w:r>
    </w:p>
    <w:p w:rsidR="0003337C" w:rsidRDefault="00B90160">
      <w:pPr>
        <w:ind w:firstLine="640"/>
        <w:rPr>
          <w:rFonts w:ascii="仿宋_GB2312" w:eastAsia="仿宋_GB2312"/>
          <w:szCs w:val="32"/>
        </w:rPr>
      </w:pPr>
      <w:r>
        <w:rPr>
          <w:rFonts w:ascii="仿宋_GB2312" w:eastAsia="仿宋_GB2312" w:hint="eastAsia"/>
          <w:szCs w:val="32"/>
        </w:rPr>
        <w:t>为组织实施好《深圳经济特区知识产权保护条例》有关先行发布禁令条款，增强规范性和可操作性，我局起草了《深圳市市场监督管理局关于先行发布知识产权行政禁令的规定（试行）（征求意见稿）》（以下简称《禁令规定》），现就有关情况说明如下：</w:t>
      </w:r>
    </w:p>
    <w:p w:rsidR="0003337C" w:rsidRDefault="00B90160">
      <w:pPr>
        <w:pStyle w:val="1"/>
        <w:numPr>
          <w:ilvl w:val="0"/>
          <w:numId w:val="8"/>
        </w:numPr>
        <w:tabs>
          <w:tab w:val="left" w:pos="1418"/>
        </w:tabs>
        <w:ind w:left="0" w:firstLine="640"/>
        <w:rPr>
          <w:rFonts w:ascii="黑体" w:eastAsia="黑体" w:hAnsi="黑体"/>
          <w:szCs w:val="32"/>
        </w:rPr>
      </w:pPr>
      <w:r>
        <w:rPr>
          <w:rFonts w:ascii="黑体" w:eastAsia="黑体" w:hAnsi="黑体" w:hint="eastAsia"/>
          <w:szCs w:val="32"/>
        </w:rPr>
        <w:t>起草背景</w:t>
      </w:r>
    </w:p>
    <w:p w:rsidR="0003337C" w:rsidRDefault="00B90160">
      <w:pPr>
        <w:ind w:firstLine="640"/>
        <w:rPr>
          <w:rFonts w:ascii="仿宋_GB2312" w:eastAsia="仿宋_GB2312"/>
          <w:szCs w:val="32"/>
        </w:rPr>
      </w:pPr>
      <w:r>
        <w:rPr>
          <w:rFonts w:ascii="仿宋_GB2312" w:eastAsia="仿宋_GB2312" w:hint="eastAsia"/>
          <w:szCs w:val="32"/>
        </w:rPr>
        <w:t>为贯彻落实党中央、国务院关于实行严格的知识产权保护制度的决策部署，健全知识产权侵权查处机制，积极推进知识产权“快保护”，充分发挥行政执法高效便捷的优势，及时制止侵权行为，更有效地保护知识产权，深圳市市场监督管理局（市知识产权局）根据2019年3月1日起施行的《深圳经济特区知识产权保护条例》关于先行发布禁令的有关规定，起草了《禁令规定》。该规定细化明确了市市场监管部门在具体实施知识产权行政禁令措施时申请人、被申请人及执法人员等各类主体的有关操作规范，包括禁令的申请、审查、发布和解除等主要环节。</w:t>
      </w:r>
    </w:p>
    <w:p w:rsidR="0003337C" w:rsidRDefault="00B90160">
      <w:pPr>
        <w:pStyle w:val="1"/>
        <w:numPr>
          <w:ilvl w:val="0"/>
          <w:numId w:val="8"/>
        </w:numPr>
        <w:tabs>
          <w:tab w:val="left" w:pos="1418"/>
        </w:tabs>
        <w:ind w:left="0" w:firstLine="640"/>
        <w:rPr>
          <w:rFonts w:ascii="黑体" w:eastAsia="黑体" w:hAnsi="黑体"/>
          <w:szCs w:val="32"/>
        </w:rPr>
      </w:pPr>
      <w:r>
        <w:rPr>
          <w:rFonts w:ascii="黑体" w:eastAsia="黑体" w:hAnsi="黑体" w:hint="eastAsia"/>
          <w:szCs w:val="32"/>
        </w:rPr>
        <w:t>起草依据</w:t>
      </w:r>
    </w:p>
    <w:p w:rsidR="0003337C" w:rsidRDefault="00B90160">
      <w:pPr>
        <w:ind w:firstLine="640"/>
        <w:rPr>
          <w:rFonts w:ascii="仿宋_GB2312" w:eastAsia="仿宋_GB2312"/>
          <w:szCs w:val="32"/>
        </w:rPr>
      </w:pPr>
      <w:r>
        <w:rPr>
          <w:rFonts w:ascii="仿宋_GB2312" w:eastAsia="仿宋_GB2312" w:hint="eastAsia"/>
          <w:szCs w:val="32"/>
        </w:rPr>
        <w:t>本试行规定是根据《深圳经济特区知识产权保护条例》《中</w:t>
      </w:r>
      <w:r>
        <w:rPr>
          <w:rFonts w:ascii="仿宋_GB2312" w:eastAsia="仿宋_GB2312" w:hint="eastAsia"/>
          <w:szCs w:val="32"/>
        </w:rPr>
        <w:lastRenderedPageBreak/>
        <w:t>华人民共和国商标法》《中华人民共和国专利法》《中华人民共和国著作权法》《地理标志产品保护规定》《农产品地理标志管理办法》等有关法律、法规、规章，结合我市市场监管工作实际而起草。其中，直接依据的核心条款是《深圳经济特区知识产权保护条例》第二十六条，该条共有两款，具体文本如下：</w:t>
      </w:r>
    </w:p>
    <w:p w:rsidR="0003337C" w:rsidRDefault="00B90160">
      <w:pPr>
        <w:ind w:firstLine="640"/>
        <w:rPr>
          <w:rFonts w:ascii="仿宋_GB2312" w:eastAsia="仿宋_GB2312"/>
          <w:szCs w:val="32"/>
        </w:rPr>
      </w:pPr>
      <w:r>
        <w:rPr>
          <w:rFonts w:ascii="仿宋_GB2312" w:eastAsia="仿宋_GB2312" w:hint="eastAsia"/>
          <w:szCs w:val="32"/>
        </w:rPr>
        <w:t>权利人或者利害关系人投诉知识产权侵权行为，市主管部门或者其他管理部门对有证据证明存在侵权事实的，可以先行发布禁令，责令涉嫌侵权人立即停止涉嫌侵权行为，并依法处理。发布禁令前，可以要求权利人或者利害关系人提供适当担保。经调查，侵权行为不成立的，应当及时解除禁令。</w:t>
      </w:r>
    </w:p>
    <w:p w:rsidR="0003337C" w:rsidRDefault="00B90160">
      <w:pPr>
        <w:ind w:firstLine="640"/>
        <w:rPr>
          <w:rFonts w:ascii="仿宋_GB2312" w:eastAsia="仿宋_GB2312"/>
          <w:szCs w:val="32"/>
        </w:rPr>
      </w:pPr>
      <w:r>
        <w:rPr>
          <w:rFonts w:ascii="仿宋_GB2312" w:eastAsia="仿宋_GB2312" w:hint="eastAsia"/>
          <w:szCs w:val="32"/>
        </w:rPr>
        <w:t>涉嫌侵权人拒不执行禁令停止涉嫌侵权行为，经认定构成侵权的，按照自禁令发布之日起的违法经营额的两倍处以罚款。违法经营额无法计算或者违法经营额五万元以下的，处以三万元以上十万元以下罚款。</w:t>
      </w:r>
    </w:p>
    <w:p w:rsidR="0003337C" w:rsidRDefault="00B90160">
      <w:pPr>
        <w:pStyle w:val="1"/>
        <w:numPr>
          <w:ilvl w:val="0"/>
          <w:numId w:val="8"/>
        </w:numPr>
        <w:tabs>
          <w:tab w:val="left" w:pos="1418"/>
        </w:tabs>
        <w:ind w:left="0" w:firstLine="640"/>
        <w:rPr>
          <w:rFonts w:ascii="黑体" w:eastAsia="黑体" w:hAnsi="黑体"/>
          <w:szCs w:val="32"/>
        </w:rPr>
      </w:pPr>
      <w:r>
        <w:rPr>
          <w:rFonts w:ascii="黑体" w:eastAsia="黑体" w:hAnsi="黑体" w:hint="eastAsia"/>
          <w:szCs w:val="32"/>
        </w:rPr>
        <w:t>主要内容</w:t>
      </w:r>
    </w:p>
    <w:p w:rsidR="0003337C" w:rsidRDefault="00B90160">
      <w:pPr>
        <w:ind w:firstLine="640"/>
        <w:rPr>
          <w:rFonts w:ascii="黑体" w:eastAsia="黑体" w:hAnsi="黑体"/>
          <w:szCs w:val="32"/>
        </w:rPr>
      </w:pPr>
      <w:r>
        <w:rPr>
          <w:rFonts w:ascii="仿宋_GB2312" w:eastAsia="仿宋_GB2312" w:hAnsi="宋体" w:hint="eastAsia"/>
          <w:szCs w:val="32"/>
        </w:rPr>
        <w:t>《禁令规定》共有五章二十条，首尾两章为总则和附则，第二、三、四章为具体业务内容，</w:t>
      </w:r>
      <w:r>
        <w:rPr>
          <w:rFonts w:ascii="仿宋_GB2312" w:eastAsia="仿宋_GB2312" w:hint="eastAsia"/>
          <w:szCs w:val="32"/>
        </w:rPr>
        <w:t>具体如下：</w:t>
      </w:r>
    </w:p>
    <w:p w:rsidR="0003337C" w:rsidRDefault="00B90160">
      <w:pPr>
        <w:pStyle w:val="1"/>
        <w:numPr>
          <w:ilvl w:val="0"/>
          <w:numId w:val="9"/>
        </w:numPr>
        <w:tabs>
          <w:tab w:val="left" w:pos="1418"/>
        </w:tabs>
        <w:ind w:firstLineChars="0"/>
        <w:rPr>
          <w:rFonts w:ascii="华文楷体" w:eastAsia="华文楷体" w:hAnsi="华文楷体"/>
          <w:b/>
          <w:szCs w:val="32"/>
        </w:rPr>
      </w:pPr>
      <w:r>
        <w:rPr>
          <w:rFonts w:ascii="华文楷体" w:eastAsia="华文楷体" w:hAnsi="华文楷体" w:hint="eastAsia"/>
          <w:b/>
          <w:szCs w:val="32"/>
        </w:rPr>
        <w:t>明确禁令申请事项</w:t>
      </w:r>
    </w:p>
    <w:p w:rsidR="0003337C" w:rsidRDefault="00B90160">
      <w:pPr>
        <w:ind w:firstLine="640"/>
        <w:rPr>
          <w:rFonts w:ascii="仿宋_GB2312" w:eastAsia="仿宋_GB2312" w:hAnsi="宋体"/>
          <w:szCs w:val="32"/>
        </w:rPr>
      </w:pPr>
      <w:r>
        <w:rPr>
          <w:rFonts w:ascii="仿宋_GB2312" w:eastAsia="仿宋_GB2312" w:hAnsi="宋体" w:hint="eastAsia"/>
          <w:szCs w:val="32"/>
        </w:rPr>
        <w:t>第二章对知识产权</w:t>
      </w:r>
      <w:r>
        <w:rPr>
          <w:rFonts w:ascii="华文仿宋" w:hAnsi="华文仿宋" w:hint="eastAsia"/>
          <w:szCs w:val="32"/>
        </w:rPr>
        <w:t>权利人或者利害关系人因投诉知识产权侵权行为而</w:t>
      </w:r>
      <w:r>
        <w:rPr>
          <w:rFonts w:ascii="仿宋_GB2312" w:eastAsia="仿宋_GB2312" w:hAnsi="宋体" w:hint="eastAsia"/>
          <w:szCs w:val="32"/>
        </w:rPr>
        <w:t>申请先行发布禁令的有关事项作了具体规定，主要围绕申请材料和担保事项作出可操作的具体规定。</w:t>
      </w:r>
    </w:p>
    <w:p w:rsidR="0003337C" w:rsidRDefault="00B90160">
      <w:pPr>
        <w:pStyle w:val="1"/>
        <w:numPr>
          <w:ilvl w:val="0"/>
          <w:numId w:val="9"/>
        </w:numPr>
        <w:tabs>
          <w:tab w:val="left" w:pos="1418"/>
        </w:tabs>
        <w:ind w:firstLineChars="0"/>
        <w:rPr>
          <w:rFonts w:ascii="华文楷体" w:eastAsia="华文楷体" w:hAnsi="华文楷体"/>
          <w:b/>
          <w:szCs w:val="32"/>
        </w:rPr>
      </w:pPr>
      <w:r>
        <w:rPr>
          <w:rFonts w:ascii="华文楷体" w:eastAsia="华文楷体" w:hAnsi="华文楷体" w:hint="eastAsia"/>
          <w:b/>
          <w:szCs w:val="32"/>
        </w:rPr>
        <w:t>明确禁令审查与发布事项</w:t>
      </w:r>
    </w:p>
    <w:p w:rsidR="0003337C" w:rsidRDefault="00B90160">
      <w:pPr>
        <w:ind w:firstLine="640"/>
        <w:rPr>
          <w:rFonts w:ascii="仿宋_GB2312" w:eastAsia="仿宋_GB2312" w:hAnsi="宋体"/>
          <w:szCs w:val="32"/>
        </w:rPr>
      </w:pPr>
      <w:r>
        <w:rPr>
          <w:rFonts w:ascii="仿宋_GB2312" w:eastAsia="仿宋_GB2312" w:hAnsi="宋体" w:hint="eastAsia"/>
          <w:szCs w:val="32"/>
        </w:rPr>
        <w:lastRenderedPageBreak/>
        <w:t>第三章对市场监管部门审查禁令申请以及作出先行发布禁令决定的有关事项作了具体规定，包括禁令申请审查的综合考量因素、知识产权稳定性判断的综合考量因素、禁令期限的确定与延长、文书送达与通知等重要内容。</w:t>
      </w:r>
    </w:p>
    <w:p w:rsidR="0003337C" w:rsidRDefault="00B90160">
      <w:pPr>
        <w:pStyle w:val="1"/>
        <w:numPr>
          <w:ilvl w:val="0"/>
          <w:numId w:val="9"/>
        </w:numPr>
        <w:tabs>
          <w:tab w:val="left" w:pos="1418"/>
        </w:tabs>
        <w:ind w:firstLineChars="0"/>
        <w:rPr>
          <w:rFonts w:ascii="华文楷体" w:eastAsia="华文楷体" w:hAnsi="华文楷体"/>
          <w:b/>
          <w:szCs w:val="32"/>
        </w:rPr>
      </w:pPr>
      <w:r>
        <w:rPr>
          <w:rFonts w:ascii="华文楷体" w:eastAsia="华文楷体" w:hAnsi="华文楷体" w:hint="eastAsia"/>
          <w:b/>
          <w:szCs w:val="32"/>
        </w:rPr>
        <w:t>明确禁令解除事项</w:t>
      </w:r>
    </w:p>
    <w:p w:rsidR="0003337C" w:rsidRDefault="00B90160">
      <w:pPr>
        <w:ind w:firstLine="640"/>
        <w:rPr>
          <w:rFonts w:ascii="仿宋_GB2312" w:eastAsia="仿宋_GB2312" w:hAnsi="宋体"/>
          <w:szCs w:val="32"/>
        </w:rPr>
      </w:pPr>
      <w:r>
        <w:rPr>
          <w:rFonts w:ascii="仿宋_GB2312" w:eastAsia="仿宋_GB2312" w:hAnsi="宋体" w:hint="eastAsia"/>
          <w:szCs w:val="32"/>
        </w:rPr>
        <w:t>第四章对禁令的解除事项作了具体规定，包括“应当解除禁令”的5种情形、“可以解除禁令”的3种情形以及禁令解除后担保金的处置事项等。</w:t>
      </w:r>
    </w:p>
    <w:sectPr w:rsidR="0003337C" w:rsidSect="0003337C">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20F" w:rsidRDefault="0026020F">
      <w:pPr>
        <w:ind w:firstLine="640"/>
      </w:pPr>
      <w:r>
        <w:separator/>
      </w:r>
    </w:p>
  </w:endnote>
  <w:endnote w:type="continuationSeparator" w:id="0">
    <w:p w:rsidR="0026020F" w:rsidRDefault="0026020F">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51616"/>
    </w:sdtPr>
    <w:sdtContent>
      <w:p w:rsidR="0003337C" w:rsidRDefault="00D97B11">
        <w:pPr>
          <w:pStyle w:val="a3"/>
          <w:ind w:firstLine="360"/>
          <w:jc w:val="center"/>
        </w:pPr>
        <w:r w:rsidRPr="00D97B11">
          <w:fldChar w:fldCharType="begin"/>
        </w:r>
        <w:r w:rsidR="00B90160">
          <w:instrText xml:space="preserve"> PAGE   \* MERGEFORMAT </w:instrText>
        </w:r>
        <w:r w:rsidRPr="00D97B11">
          <w:fldChar w:fldCharType="separate"/>
        </w:r>
        <w:r w:rsidR="00626CF9" w:rsidRPr="00626CF9">
          <w:rPr>
            <w:noProof/>
            <w:lang w:val="zh-CN"/>
          </w:rPr>
          <w:t>3</w:t>
        </w:r>
        <w:r>
          <w:rPr>
            <w:lang w:val="zh-CN"/>
          </w:rPr>
          <w:fldChar w:fldCharType="end"/>
        </w:r>
      </w:p>
    </w:sdtContent>
  </w:sdt>
  <w:p w:rsidR="0003337C" w:rsidRDefault="0003337C">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20F" w:rsidRDefault="0026020F">
      <w:pPr>
        <w:ind w:firstLine="640"/>
      </w:pPr>
      <w:r>
        <w:separator/>
      </w:r>
    </w:p>
  </w:footnote>
  <w:footnote w:type="continuationSeparator" w:id="0">
    <w:p w:rsidR="0026020F" w:rsidRDefault="0026020F">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rsidP="00FC3D3E">
    <w:pPr>
      <w:pStyle w:val="a4"/>
      <w:pBdr>
        <w:bottom w:val="none" w:sz="0" w:space="0" w:color="auto"/>
      </w:pBdr>
      <w:ind w:firstLine="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7C" w:rsidRDefault="0003337C">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2E29"/>
    <w:multiLevelType w:val="multilevel"/>
    <w:tmpl w:val="0E632E29"/>
    <w:lvl w:ilvl="0">
      <w:start w:val="1"/>
      <w:numFmt w:val="japaneseCounting"/>
      <w:lvlText w:val="第%1条"/>
      <w:lvlJc w:val="left"/>
      <w:pPr>
        <w:ind w:left="2913" w:hanging="192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84138B2"/>
    <w:multiLevelType w:val="multilevel"/>
    <w:tmpl w:val="184138B2"/>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71374C"/>
    <w:multiLevelType w:val="multilevel"/>
    <w:tmpl w:val="2C71374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A4F186F"/>
    <w:multiLevelType w:val="multilevel"/>
    <w:tmpl w:val="3A4F186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47DF0416"/>
    <w:multiLevelType w:val="multilevel"/>
    <w:tmpl w:val="47DF041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63102CE0"/>
    <w:multiLevelType w:val="multilevel"/>
    <w:tmpl w:val="63102CE0"/>
    <w:lvl w:ilvl="0">
      <w:start w:val="1"/>
      <w:numFmt w:val="japaneseCounting"/>
      <w:lvlText w:val="（%1）"/>
      <w:lvlJc w:val="left"/>
      <w:pPr>
        <w:ind w:left="2230" w:hanging="159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6FBB34A8"/>
    <w:multiLevelType w:val="multilevel"/>
    <w:tmpl w:val="6FBB34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4BE651B"/>
    <w:multiLevelType w:val="multilevel"/>
    <w:tmpl w:val="74BE651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7D6E2B44"/>
    <w:multiLevelType w:val="multilevel"/>
    <w:tmpl w:val="7D6E2B4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E13"/>
    <w:rsid w:val="00015C77"/>
    <w:rsid w:val="0003337C"/>
    <w:rsid w:val="00067F43"/>
    <w:rsid w:val="000B42F1"/>
    <w:rsid w:val="000C36ED"/>
    <w:rsid w:val="000F0065"/>
    <w:rsid w:val="001066DA"/>
    <w:rsid w:val="0014239A"/>
    <w:rsid w:val="001616D2"/>
    <w:rsid w:val="001C16EF"/>
    <w:rsid w:val="001D3BFE"/>
    <w:rsid w:val="001D7321"/>
    <w:rsid w:val="00201E1B"/>
    <w:rsid w:val="00212B3C"/>
    <w:rsid w:val="002138CB"/>
    <w:rsid w:val="00235C06"/>
    <w:rsid w:val="0026020F"/>
    <w:rsid w:val="002623C4"/>
    <w:rsid w:val="00263593"/>
    <w:rsid w:val="002825A5"/>
    <w:rsid w:val="00292304"/>
    <w:rsid w:val="002C33E9"/>
    <w:rsid w:val="002E2117"/>
    <w:rsid w:val="003236D5"/>
    <w:rsid w:val="00372F63"/>
    <w:rsid w:val="00376B71"/>
    <w:rsid w:val="00392632"/>
    <w:rsid w:val="00396C39"/>
    <w:rsid w:val="003A1616"/>
    <w:rsid w:val="003B4406"/>
    <w:rsid w:val="003B49B1"/>
    <w:rsid w:val="003C4D99"/>
    <w:rsid w:val="003D3641"/>
    <w:rsid w:val="00407E24"/>
    <w:rsid w:val="00411087"/>
    <w:rsid w:val="0043688D"/>
    <w:rsid w:val="004567AF"/>
    <w:rsid w:val="00467E52"/>
    <w:rsid w:val="00484E78"/>
    <w:rsid w:val="0049055D"/>
    <w:rsid w:val="00493E15"/>
    <w:rsid w:val="004B18C5"/>
    <w:rsid w:val="004B7E35"/>
    <w:rsid w:val="00505750"/>
    <w:rsid w:val="00516C5A"/>
    <w:rsid w:val="00530648"/>
    <w:rsid w:val="005336E9"/>
    <w:rsid w:val="00540145"/>
    <w:rsid w:val="00546F29"/>
    <w:rsid w:val="005764B5"/>
    <w:rsid w:val="005C1065"/>
    <w:rsid w:val="005C2203"/>
    <w:rsid w:val="005F41CE"/>
    <w:rsid w:val="005F60A1"/>
    <w:rsid w:val="00626CF9"/>
    <w:rsid w:val="0063012C"/>
    <w:rsid w:val="00671D3F"/>
    <w:rsid w:val="006903B9"/>
    <w:rsid w:val="006944FD"/>
    <w:rsid w:val="006C4CC1"/>
    <w:rsid w:val="006C542A"/>
    <w:rsid w:val="006D07D9"/>
    <w:rsid w:val="006D3711"/>
    <w:rsid w:val="006E28EF"/>
    <w:rsid w:val="006E3A6D"/>
    <w:rsid w:val="00703DF8"/>
    <w:rsid w:val="0070753A"/>
    <w:rsid w:val="00711871"/>
    <w:rsid w:val="00732DDB"/>
    <w:rsid w:val="00750528"/>
    <w:rsid w:val="007644D5"/>
    <w:rsid w:val="00775E13"/>
    <w:rsid w:val="0078340B"/>
    <w:rsid w:val="007843C8"/>
    <w:rsid w:val="0079151F"/>
    <w:rsid w:val="007B1626"/>
    <w:rsid w:val="007D11DA"/>
    <w:rsid w:val="007F0CDC"/>
    <w:rsid w:val="008055A4"/>
    <w:rsid w:val="008256B8"/>
    <w:rsid w:val="00833CBB"/>
    <w:rsid w:val="008467F3"/>
    <w:rsid w:val="00856010"/>
    <w:rsid w:val="00860BFD"/>
    <w:rsid w:val="00860D9A"/>
    <w:rsid w:val="00866AD8"/>
    <w:rsid w:val="008A718F"/>
    <w:rsid w:val="008C17AD"/>
    <w:rsid w:val="008F1E01"/>
    <w:rsid w:val="008F34CF"/>
    <w:rsid w:val="00901EF9"/>
    <w:rsid w:val="00905859"/>
    <w:rsid w:val="0093329B"/>
    <w:rsid w:val="009363C2"/>
    <w:rsid w:val="00941852"/>
    <w:rsid w:val="00954762"/>
    <w:rsid w:val="00977513"/>
    <w:rsid w:val="0099257E"/>
    <w:rsid w:val="009B21A2"/>
    <w:rsid w:val="009B7B06"/>
    <w:rsid w:val="009C2690"/>
    <w:rsid w:val="009D7ABF"/>
    <w:rsid w:val="009F466B"/>
    <w:rsid w:val="00A05F8E"/>
    <w:rsid w:val="00A26AF3"/>
    <w:rsid w:val="00A8313B"/>
    <w:rsid w:val="00A85961"/>
    <w:rsid w:val="00AC1E3B"/>
    <w:rsid w:val="00AD044F"/>
    <w:rsid w:val="00AD1580"/>
    <w:rsid w:val="00AE0415"/>
    <w:rsid w:val="00B12B69"/>
    <w:rsid w:val="00B13BF4"/>
    <w:rsid w:val="00B13CB6"/>
    <w:rsid w:val="00B27BA4"/>
    <w:rsid w:val="00B77FB8"/>
    <w:rsid w:val="00B90160"/>
    <w:rsid w:val="00B91B62"/>
    <w:rsid w:val="00BB2552"/>
    <w:rsid w:val="00BB417B"/>
    <w:rsid w:val="00BD777C"/>
    <w:rsid w:val="00C20662"/>
    <w:rsid w:val="00C35E73"/>
    <w:rsid w:val="00C45C8A"/>
    <w:rsid w:val="00CA1857"/>
    <w:rsid w:val="00CA6BBF"/>
    <w:rsid w:val="00CD2704"/>
    <w:rsid w:val="00CD750F"/>
    <w:rsid w:val="00CE132A"/>
    <w:rsid w:val="00CF0DDD"/>
    <w:rsid w:val="00CF2363"/>
    <w:rsid w:val="00D004FD"/>
    <w:rsid w:val="00D3314D"/>
    <w:rsid w:val="00D534F2"/>
    <w:rsid w:val="00D57237"/>
    <w:rsid w:val="00D6204D"/>
    <w:rsid w:val="00D7674C"/>
    <w:rsid w:val="00D97B11"/>
    <w:rsid w:val="00DB7506"/>
    <w:rsid w:val="00DD19EC"/>
    <w:rsid w:val="00DD2495"/>
    <w:rsid w:val="00DE0888"/>
    <w:rsid w:val="00DF1B70"/>
    <w:rsid w:val="00DF223F"/>
    <w:rsid w:val="00E27678"/>
    <w:rsid w:val="00E45C40"/>
    <w:rsid w:val="00E6187B"/>
    <w:rsid w:val="00E66BF9"/>
    <w:rsid w:val="00E76D68"/>
    <w:rsid w:val="00E95970"/>
    <w:rsid w:val="00E97F28"/>
    <w:rsid w:val="00EB0FD5"/>
    <w:rsid w:val="00EC7210"/>
    <w:rsid w:val="00ED6A76"/>
    <w:rsid w:val="00EE64D1"/>
    <w:rsid w:val="00F3271D"/>
    <w:rsid w:val="00F35797"/>
    <w:rsid w:val="00F41EF5"/>
    <w:rsid w:val="00F45515"/>
    <w:rsid w:val="00F747CE"/>
    <w:rsid w:val="00FA39E9"/>
    <w:rsid w:val="00FB40D7"/>
    <w:rsid w:val="00FC3D3E"/>
    <w:rsid w:val="00FC6C56"/>
    <w:rsid w:val="00FE22CD"/>
    <w:rsid w:val="539D2F83"/>
    <w:rsid w:val="5BA45B58"/>
    <w:rsid w:val="5C345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7C"/>
    <w:pPr>
      <w:widowControl w:val="0"/>
      <w:ind w:firstLineChars="200" w:firstLine="200"/>
      <w:jc w:val="both"/>
    </w:pPr>
    <w:rPr>
      <w:rFonts w:eastAsia="华文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337C"/>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0333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03337C"/>
    <w:rPr>
      <w:sz w:val="18"/>
      <w:szCs w:val="18"/>
    </w:rPr>
  </w:style>
  <w:style w:type="character" w:customStyle="1" w:styleId="Char">
    <w:name w:val="页脚 Char"/>
    <w:basedOn w:val="a0"/>
    <w:link w:val="a3"/>
    <w:uiPriority w:val="99"/>
    <w:rsid w:val="0003337C"/>
    <w:rPr>
      <w:sz w:val="18"/>
      <w:szCs w:val="18"/>
    </w:rPr>
  </w:style>
  <w:style w:type="paragraph" w:customStyle="1" w:styleId="1">
    <w:name w:val="列出段落1"/>
    <w:basedOn w:val="a"/>
    <w:uiPriority w:val="34"/>
    <w:qFormat/>
    <w:rsid w:val="0003337C"/>
    <w:pPr>
      <w:ind w:firstLine="420"/>
    </w:pPr>
  </w:style>
  <w:style w:type="paragraph" w:styleId="a5">
    <w:name w:val="Balloon Text"/>
    <w:basedOn w:val="a"/>
    <w:link w:val="Char1"/>
    <w:uiPriority w:val="99"/>
    <w:semiHidden/>
    <w:unhideWhenUsed/>
    <w:rsid w:val="00B90160"/>
    <w:rPr>
      <w:sz w:val="18"/>
      <w:szCs w:val="18"/>
    </w:rPr>
  </w:style>
  <w:style w:type="character" w:customStyle="1" w:styleId="Char1">
    <w:name w:val="批注框文本 Char"/>
    <w:basedOn w:val="a0"/>
    <w:link w:val="a5"/>
    <w:uiPriority w:val="99"/>
    <w:semiHidden/>
    <w:rsid w:val="00B90160"/>
    <w:rPr>
      <w:rFonts w:eastAsia="华文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962</Characters>
  <Application>Microsoft Office Word</Application>
  <DocSecurity>0</DocSecurity>
  <Lines>8</Lines>
  <Paragraphs>2</Paragraphs>
  <ScaleCrop>false</ScaleCrop>
  <Company>Microsoft</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贺振华</dc:creator>
  <cp:lastModifiedBy>曾文斌</cp:lastModifiedBy>
  <cp:revision>3</cp:revision>
  <cp:lastPrinted>2019-03-15T07:52:00Z</cp:lastPrinted>
  <dcterms:created xsi:type="dcterms:W3CDTF">2019-03-20T10:16:00Z</dcterms:created>
  <dcterms:modified xsi:type="dcterms:W3CDTF">2019-03-20T10:16:00Z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