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37C" w:rsidRPr="00FC3D3E" w:rsidRDefault="00B90160">
      <w:pPr>
        <w:ind w:firstLineChars="0" w:firstLine="0"/>
        <w:rPr>
          <w:rFonts w:ascii="黑体" w:eastAsia="黑体" w:hAnsi="黑体"/>
          <w:szCs w:val="32"/>
        </w:rPr>
      </w:pPr>
      <w:r w:rsidRPr="00FC3D3E">
        <w:rPr>
          <w:rFonts w:ascii="黑体" w:eastAsia="黑体" w:hAnsi="黑体" w:hint="eastAsia"/>
          <w:szCs w:val="32"/>
        </w:rPr>
        <w:t xml:space="preserve">附件1 </w:t>
      </w:r>
    </w:p>
    <w:p w:rsidR="00F35797" w:rsidRDefault="00B90160" w:rsidP="002E0A83">
      <w:pPr>
        <w:snapToGrid w:val="0"/>
        <w:spacing w:beforeLines="200" w:afterLines="100"/>
        <w:ind w:firstLineChars="0" w:firstLine="0"/>
        <w:jc w:val="center"/>
        <w:rPr>
          <w:rFonts w:ascii="华文中宋" w:eastAsia="华文中宋" w:hAnsi="华文中宋"/>
          <w:b/>
          <w:sz w:val="44"/>
          <w:szCs w:val="44"/>
        </w:rPr>
      </w:pPr>
      <w:r>
        <w:rPr>
          <w:rFonts w:ascii="华文中宋" w:eastAsia="华文中宋" w:hAnsi="华文中宋" w:hint="eastAsia"/>
          <w:b/>
          <w:sz w:val="44"/>
          <w:szCs w:val="44"/>
        </w:rPr>
        <w:t>深圳市市场监督管理局关于</w:t>
      </w:r>
      <w:r>
        <w:rPr>
          <w:rFonts w:ascii="华文中宋" w:eastAsia="华文中宋" w:hAnsi="华文中宋"/>
          <w:b/>
          <w:sz w:val="44"/>
          <w:szCs w:val="44"/>
        </w:rPr>
        <w:br/>
      </w:r>
      <w:r>
        <w:rPr>
          <w:rFonts w:ascii="华文中宋" w:eastAsia="华文中宋" w:hAnsi="华文中宋" w:hint="eastAsia"/>
          <w:b/>
          <w:sz w:val="44"/>
          <w:szCs w:val="44"/>
        </w:rPr>
        <w:t>先行发布知识产权行政禁令的规定（试行）</w:t>
      </w:r>
      <w:r>
        <w:rPr>
          <w:rFonts w:ascii="华文中宋" w:eastAsia="华文中宋" w:hAnsi="华文中宋"/>
          <w:b/>
          <w:sz w:val="44"/>
          <w:szCs w:val="44"/>
        </w:rPr>
        <w:br/>
      </w:r>
      <w:r>
        <w:rPr>
          <w:rFonts w:ascii="华文中宋" w:eastAsia="华文中宋" w:hAnsi="华文中宋" w:hint="eastAsia"/>
          <w:b/>
          <w:sz w:val="44"/>
          <w:szCs w:val="44"/>
        </w:rPr>
        <w:t>（征求意见稿）</w:t>
      </w:r>
    </w:p>
    <w:p w:rsidR="0003337C" w:rsidRDefault="00B90160">
      <w:pPr>
        <w:pStyle w:val="1"/>
        <w:numPr>
          <w:ilvl w:val="0"/>
          <w:numId w:val="1"/>
        </w:numPr>
        <w:tabs>
          <w:tab w:val="left" w:pos="1985"/>
        </w:tabs>
        <w:ind w:firstLineChars="0"/>
        <w:jc w:val="center"/>
        <w:rPr>
          <w:rFonts w:ascii="黑体" w:eastAsia="黑体" w:hAnsi="黑体"/>
          <w:szCs w:val="32"/>
        </w:rPr>
      </w:pPr>
      <w:r>
        <w:rPr>
          <w:rFonts w:ascii="黑体" w:eastAsia="黑体" w:hAnsi="黑体" w:hint="eastAsia"/>
          <w:szCs w:val="32"/>
        </w:rPr>
        <w:t>总　则</w:t>
      </w:r>
    </w:p>
    <w:p w:rsidR="0003337C" w:rsidRDefault="00B90160">
      <w:pPr>
        <w:pStyle w:val="1"/>
        <w:numPr>
          <w:ilvl w:val="0"/>
          <w:numId w:val="2"/>
        </w:numPr>
        <w:tabs>
          <w:tab w:val="left" w:pos="1985"/>
        </w:tabs>
        <w:ind w:left="0" w:firstLine="640"/>
        <w:rPr>
          <w:rFonts w:ascii="华文仿宋" w:hAnsi="华文仿宋"/>
          <w:szCs w:val="32"/>
        </w:rPr>
      </w:pPr>
      <w:r>
        <w:rPr>
          <w:rFonts w:ascii="华文仿宋" w:hAnsi="华文仿宋" w:hint="eastAsia"/>
          <w:szCs w:val="32"/>
        </w:rPr>
        <w:t>为及时制止知识产权侵权行为，更有效地保护知识产权，根据《深圳经济特区知识产权保护条例》第二十六条的规定，结合市场监管工作实际，就市场监管部门先行发布知识产权行政禁令（以下简称禁令）制定本规定。</w:t>
      </w:r>
    </w:p>
    <w:p w:rsidR="0003337C" w:rsidRDefault="00B90160">
      <w:pPr>
        <w:pStyle w:val="1"/>
        <w:numPr>
          <w:ilvl w:val="0"/>
          <w:numId w:val="2"/>
        </w:numPr>
        <w:tabs>
          <w:tab w:val="left" w:pos="1985"/>
        </w:tabs>
        <w:ind w:left="0" w:firstLine="640"/>
        <w:rPr>
          <w:rFonts w:ascii="华文仿宋" w:hAnsi="华文仿宋"/>
          <w:szCs w:val="32"/>
        </w:rPr>
      </w:pPr>
      <w:r>
        <w:rPr>
          <w:rFonts w:ascii="华文仿宋" w:hAnsi="华文仿宋" w:hint="eastAsia"/>
          <w:szCs w:val="32"/>
        </w:rPr>
        <w:t>本规定所称知识产权侵权行为，是指市市场监管部门可依法定职权处理的侵犯商标权、专利权、著作权、原产地地理标志的行为。</w:t>
      </w:r>
    </w:p>
    <w:p w:rsidR="0003337C" w:rsidRDefault="00B90160">
      <w:pPr>
        <w:pStyle w:val="1"/>
        <w:numPr>
          <w:ilvl w:val="0"/>
          <w:numId w:val="2"/>
        </w:numPr>
        <w:tabs>
          <w:tab w:val="left" w:pos="1985"/>
        </w:tabs>
        <w:ind w:left="0" w:firstLine="640"/>
        <w:rPr>
          <w:rFonts w:ascii="华文仿宋" w:hAnsi="华文仿宋"/>
          <w:szCs w:val="32"/>
        </w:rPr>
      </w:pPr>
      <w:r>
        <w:rPr>
          <w:rFonts w:ascii="华文仿宋" w:hAnsi="华文仿宋" w:hint="eastAsia"/>
          <w:szCs w:val="32"/>
        </w:rPr>
        <w:t>权利人或者利害关系人投诉知识产权侵权行为，市市场监管部门对有证据证明存在侵权事实的，可以根据权利人或者利害关系人的申请，或者依职权，先行发布禁令，责令涉嫌侵权人立即停止涉嫌侵权行为，并依法处理。</w:t>
      </w:r>
    </w:p>
    <w:p w:rsidR="0003337C" w:rsidRDefault="00B90160">
      <w:pPr>
        <w:pStyle w:val="1"/>
        <w:numPr>
          <w:ilvl w:val="0"/>
          <w:numId w:val="2"/>
        </w:numPr>
        <w:tabs>
          <w:tab w:val="left" w:pos="1985"/>
        </w:tabs>
        <w:ind w:left="0" w:firstLine="640"/>
        <w:rPr>
          <w:rFonts w:ascii="华文仿宋" w:hAnsi="华文仿宋"/>
          <w:szCs w:val="32"/>
        </w:rPr>
      </w:pPr>
      <w:r>
        <w:rPr>
          <w:rFonts w:ascii="华文仿宋" w:hAnsi="华文仿宋" w:hint="eastAsia"/>
          <w:szCs w:val="32"/>
        </w:rPr>
        <w:t>知识产权许可合同的被许可人申请先行发布禁令的，独占许可合同的被许可人可以单独提出申请；排他许可合同的被许可人在权利人不申请的情况下，可以单独提出申请；普通许可合同的被许可人经权利人明确授权以被许可人自己的名义</w:t>
      </w:r>
      <w:r>
        <w:rPr>
          <w:rFonts w:ascii="华文仿宋" w:hAnsi="华文仿宋" w:hint="eastAsia"/>
          <w:szCs w:val="32"/>
        </w:rPr>
        <w:lastRenderedPageBreak/>
        <w:t>投诉知识产权侵权行为的，可以单独提出申请。</w:t>
      </w:r>
    </w:p>
    <w:p w:rsidR="0003337C" w:rsidRDefault="00B90160">
      <w:pPr>
        <w:pStyle w:val="1"/>
        <w:numPr>
          <w:ilvl w:val="0"/>
          <w:numId w:val="1"/>
        </w:numPr>
        <w:tabs>
          <w:tab w:val="left" w:pos="1985"/>
        </w:tabs>
        <w:ind w:firstLineChars="0"/>
        <w:jc w:val="center"/>
        <w:rPr>
          <w:rFonts w:ascii="黑体" w:eastAsia="黑体" w:hAnsi="黑体"/>
          <w:szCs w:val="32"/>
        </w:rPr>
      </w:pPr>
      <w:r>
        <w:rPr>
          <w:rFonts w:ascii="黑体" w:eastAsia="黑体" w:hAnsi="黑体" w:hint="eastAsia"/>
          <w:szCs w:val="32"/>
        </w:rPr>
        <w:t>禁令的申请</w:t>
      </w:r>
    </w:p>
    <w:p w:rsidR="0003337C" w:rsidRDefault="00B90160">
      <w:pPr>
        <w:pStyle w:val="1"/>
        <w:numPr>
          <w:ilvl w:val="0"/>
          <w:numId w:val="2"/>
        </w:numPr>
        <w:tabs>
          <w:tab w:val="left" w:pos="1985"/>
        </w:tabs>
        <w:ind w:left="0" w:firstLine="640"/>
        <w:rPr>
          <w:rFonts w:ascii="华文仿宋" w:hAnsi="华文仿宋"/>
          <w:szCs w:val="32"/>
        </w:rPr>
      </w:pPr>
      <w:r>
        <w:rPr>
          <w:rFonts w:ascii="华文仿宋" w:hAnsi="华文仿宋" w:hint="eastAsia"/>
          <w:szCs w:val="32"/>
        </w:rPr>
        <w:t>申请先行发布禁令应当递交申请书和相应证据材料。</w:t>
      </w:r>
    </w:p>
    <w:p w:rsidR="0003337C" w:rsidRDefault="00B90160">
      <w:pPr>
        <w:pStyle w:val="1"/>
        <w:tabs>
          <w:tab w:val="left" w:pos="1985"/>
        </w:tabs>
        <w:ind w:firstLine="640"/>
        <w:rPr>
          <w:rFonts w:ascii="华文仿宋" w:hAnsi="华文仿宋"/>
          <w:szCs w:val="32"/>
        </w:rPr>
      </w:pPr>
      <w:r>
        <w:rPr>
          <w:rFonts w:ascii="华文仿宋" w:hAnsi="华文仿宋" w:hint="eastAsia"/>
          <w:szCs w:val="32"/>
        </w:rPr>
        <w:t>申请书应当载明下列事项：</w:t>
      </w:r>
    </w:p>
    <w:p w:rsidR="0003337C" w:rsidRDefault="00B90160">
      <w:pPr>
        <w:pStyle w:val="1"/>
        <w:numPr>
          <w:ilvl w:val="0"/>
          <w:numId w:val="3"/>
        </w:numPr>
        <w:tabs>
          <w:tab w:val="left" w:pos="1701"/>
        </w:tabs>
        <w:ind w:left="0" w:firstLine="640"/>
        <w:rPr>
          <w:rFonts w:ascii="华文仿宋" w:hAnsi="华文仿宋"/>
          <w:szCs w:val="32"/>
        </w:rPr>
      </w:pPr>
      <w:r>
        <w:rPr>
          <w:rFonts w:ascii="华文仿宋" w:hAnsi="华文仿宋" w:hint="eastAsia"/>
          <w:szCs w:val="32"/>
        </w:rPr>
        <w:t>申请人的身份信息、送达地址、联系方式等；</w:t>
      </w:r>
    </w:p>
    <w:p w:rsidR="0003337C" w:rsidRDefault="00B90160">
      <w:pPr>
        <w:pStyle w:val="1"/>
        <w:numPr>
          <w:ilvl w:val="0"/>
          <w:numId w:val="3"/>
        </w:numPr>
        <w:tabs>
          <w:tab w:val="left" w:pos="1701"/>
        </w:tabs>
        <w:ind w:left="0" w:firstLine="640"/>
        <w:rPr>
          <w:rFonts w:ascii="华文仿宋" w:hAnsi="华文仿宋"/>
          <w:szCs w:val="32"/>
        </w:rPr>
      </w:pPr>
      <w:r>
        <w:rPr>
          <w:rFonts w:ascii="华文仿宋" w:hAnsi="华文仿宋" w:hint="eastAsia"/>
          <w:szCs w:val="32"/>
        </w:rPr>
        <w:t>被申请人的身份信息、登记住所地址、实际经营地址等；</w:t>
      </w:r>
    </w:p>
    <w:p w:rsidR="0003337C" w:rsidRDefault="00B90160">
      <w:pPr>
        <w:pStyle w:val="1"/>
        <w:numPr>
          <w:ilvl w:val="0"/>
          <w:numId w:val="3"/>
        </w:numPr>
        <w:tabs>
          <w:tab w:val="left" w:pos="1701"/>
        </w:tabs>
        <w:ind w:left="0" w:firstLine="640"/>
        <w:rPr>
          <w:rFonts w:ascii="华文仿宋" w:hAnsi="华文仿宋"/>
          <w:szCs w:val="32"/>
        </w:rPr>
      </w:pPr>
      <w:r>
        <w:rPr>
          <w:rFonts w:ascii="华文仿宋" w:hAnsi="华文仿宋" w:hint="eastAsia"/>
          <w:szCs w:val="32"/>
        </w:rPr>
        <w:t>申请先行发布禁令的具体内容和明确期限；</w:t>
      </w:r>
    </w:p>
    <w:p w:rsidR="0003337C" w:rsidRDefault="00B90160">
      <w:pPr>
        <w:pStyle w:val="1"/>
        <w:numPr>
          <w:ilvl w:val="0"/>
          <w:numId w:val="3"/>
        </w:numPr>
        <w:tabs>
          <w:tab w:val="left" w:pos="1701"/>
        </w:tabs>
        <w:ind w:left="0" w:firstLine="640"/>
        <w:rPr>
          <w:rFonts w:ascii="华文仿宋" w:hAnsi="华文仿宋"/>
          <w:szCs w:val="32"/>
        </w:rPr>
      </w:pPr>
      <w:r>
        <w:rPr>
          <w:rFonts w:ascii="华文仿宋" w:hAnsi="华文仿宋" w:hint="eastAsia"/>
          <w:szCs w:val="32"/>
        </w:rPr>
        <w:t>申请所依据的事实、理由、证据清单，包括有证据证明被申请人存在侵权事实的具体说明、侵权对比分析等；</w:t>
      </w:r>
    </w:p>
    <w:p w:rsidR="0003337C" w:rsidRDefault="00B90160">
      <w:pPr>
        <w:pStyle w:val="1"/>
        <w:numPr>
          <w:ilvl w:val="0"/>
          <w:numId w:val="3"/>
        </w:numPr>
        <w:tabs>
          <w:tab w:val="left" w:pos="1701"/>
        </w:tabs>
        <w:ind w:left="0" w:firstLine="640"/>
        <w:rPr>
          <w:rFonts w:ascii="华文仿宋" w:hAnsi="华文仿宋"/>
          <w:szCs w:val="32"/>
        </w:rPr>
      </w:pPr>
      <w:r>
        <w:rPr>
          <w:rFonts w:ascii="华文仿宋" w:hAnsi="华文仿宋" w:hint="eastAsia"/>
          <w:szCs w:val="32"/>
        </w:rPr>
        <w:t>为先行发布禁令提供担保的财产信息或资信证明等，或者不需要提供担保的理由；</w:t>
      </w:r>
    </w:p>
    <w:p w:rsidR="0003337C" w:rsidRDefault="00B90160">
      <w:pPr>
        <w:pStyle w:val="1"/>
        <w:numPr>
          <w:ilvl w:val="0"/>
          <w:numId w:val="3"/>
        </w:numPr>
        <w:tabs>
          <w:tab w:val="left" w:pos="1701"/>
        </w:tabs>
        <w:ind w:left="0" w:firstLine="640"/>
        <w:rPr>
          <w:rFonts w:ascii="华文仿宋" w:hAnsi="华文仿宋"/>
          <w:szCs w:val="32"/>
        </w:rPr>
      </w:pPr>
      <w:r>
        <w:rPr>
          <w:rFonts w:ascii="华文仿宋" w:hAnsi="华文仿宋" w:hint="eastAsia"/>
          <w:szCs w:val="32"/>
        </w:rPr>
        <w:t>其他需要载明的事项。</w:t>
      </w:r>
    </w:p>
    <w:p w:rsidR="0003337C" w:rsidRDefault="00B90160">
      <w:pPr>
        <w:pStyle w:val="1"/>
        <w:numPr>
          <w:ilvl w:val="0"/>
          <w:numId w:val="2"/>
        </w:numPr>
        <w:tabs>
          <w:tab w:val="left" w:pos="1985"/>
        </w:tabs>
        <w:ind w:left="0" w:firstLine="640"/>
        <w:rPr>
          <w:rFonts w:ascii="华文仿宋" w:hAnsi="华文仿宋"/>
          <w:szCs w:val="32"/>
        </w:rPr>
      </w:pPr>
      <w:r>
        <w:rPr>
          <w:rFonts w:ascii="华文仿宋" w:hAnsi="华文仿宋" w:hint="eastAsia"/>
          <w:szCs w:val="32"/>
        </w:rPr>
        <w:t>申请人以实用新型或者外观设计专利权为依据申请先行发布禁令的，应当提交由国务院专利行政部门作出的专利权评价报告或者维持该专利权有效的决定。维持专利权部分有效的，侵权投诉依据的全部权利要求应当属于被维持有效的部分。申请人无正当理由拒不提交或者未在指定期限内提交的，市市场监管部门承担知识产权执法办案职责的机构（以下简称执法机关）可以作出驳回申请的决定。</w:t>
      </w:r>
    </w:p>
    <w:p w:rsidR="0003337C" w:rsidRDefault="00B90160">
      <w:pPr>
        <w:pStyle w:val="1"/>
        <w:numPr>
          <w:ilvl w:val="0"/>
          <w:numId w:val="2"/>
        </w:numPr>
        <w:tabs>
          <w:tab w:val="left" w:pos="1985"/>
        </w:tabs>
        <w:ind w:left="0" w:firstLine="640"/>
        <w:rPr>
          <w:rFonts w:ascii="华文仿宋" w:hAnsi="华文仿宋"/>
          <w:szCs w:val="32"/>
        </w:rPr>
      </w:pPr>
      <w:r>
        <w:rPr>
          <w:rFonts w:ascii="华文仿宋" w:hAnsi="华文仿宋" w:hint="eastAsia"/>
          <w:szCs w:val="32"/>
        </w:rPr>
        <w:t>申请先行发布禁令的，执法机关发布禁令前可以要</w:t>
      </w:r>
      <w:r>
        <w:rPr>
          <w:rFonts w:ascii="华文仿宋" w:hAnsi="华文仿宋" w:hint="eastAsia"/>
          <w:szCs w:val="32"/>
        </w:rPr>
        <w:lastRenderedPageBreak/>
        <w:t>求申请人提供适当担保。申请人提供担保的，应当同时提交承诺书，声明在申请有错误造成被申请人损失的情形下，同意以担保金承担对被申请人损失的赔偿责任。以现金形式提供担保的，担保金可以存入市市场监管部门指定账户。申请人不按执法机关要求提供担保的，驳回申请。</w:t>
      </w:r>
    </w:p>
    <w:p w:rsidR="0003337C" w:rsidRDefault="00B90160">
      <w:pPr>
        <w:tabs>
          <w:tab w:val="left" w:pos="1985"/>
        </w:tabs>
        <w:ind w:firstLine="640"/>
        <w:rPr>
          <w:rFonts w:ascii="华文仿宋" w:hAnsi="华文仿宋"/>
          <w:szCs w:val="32"/>
        </w:rPr>
      </w:pPr>
      <w:r>
        <w:rPr>
          <w:rFonts w:ascii="华文仿宋" w:hAnsi="华文仿宋" w:hint="eastAsia"/>
          <w:szCs w:val="32"/>
        </w:rPr>
        <w:t>申请人提供的担保数额，可以参考被申请人可能因执行禁令措施所遭受的损失，包括责令停止涉嫌侵权行为所涉产品的销售收益、仓储保管费用、直接受影响的人员工资等合理损失。</w:t>
      </w:r>
    </w:p>
    <w:p w:rsidR="0003337C" w:rsidRDefault="00B90160">
      <w:pPr>
        <w:tabs>
          <w:tab w:val="left" w:pos="1985"/>
        </w:tabs>
        <w:ind w:firstLine="640"/>
        <w:rPr>
          <w:rFonts w:ascii="华文仿宋" w:hAnsi="华文仿宋"/>
          <w:szCs w:val="32"/>
        </w:rPr>
      </w:pPr>
      <w:r>
        <w:rPr>
          <w:rFonts w:ascii="华文仿宋" w:hAnsi="华文仿宋" w:hint="eastAsia"/>
          <w:szCs w:val="32"/>
        </w:rPr>
        <w:t>在禁令执行过程中，被申请人可能因此遭受的损失超过申请人担保数额的，作出禁令决定的执法机关可以责令申请人适当追加担保。申请人拒不追加或者未在指定期限内追加的，可以作出解除或者部分解除禁令的决定。</w:t>
      </w:r>
    </w:p>
    <w:p w:rsidR="0003337C" w:rsidRDefault="00B90160">
      <w:pPr>
        <w:pStyle w:val="1"/>
        <w:numPr>
          <w:ilvl w:val="0"/>
          <w:numId w:val="1"/>
        </w:numPr>
        <w:tabs>
          <w:tab w:val="left" w:pos="1985"/>
        </w:tabs>
        <w:ind w:firstLineChars="0"/>
        <w:jc w:val="center"/>
        <w:rPr>
          <w:rFonts w:ascii="黑体" w:eastAsia="黑体" w:hAnsi="黑体"/>
          <w:szCs w:val="32"/>
        </w:rPr>
      </w:pPr>
      <w:r>
        <w:rPr>
          <w:rFonts w:ascii="黑体" w:eastAsia="黑体" w:hAnsi="黑体" w:hint="eastAsia"/>
          <w:szCs w:val="32"/>
        </w:rPr>
        <w:t>禁令的审查与发布</w:t>
      </w:r>
    </w:p>
    <w:p w:rsidR="0003337C" w:rsidRDefault="00B90160">
      <w:pPr>
        <w:pStyle w:val="1"/>
        <w:numPr>
          <w:ilvl w:val="0"/>
          <w:numId w:val="2"/>
        </w:numPr>
        <w:tabs>
          <w:tab w:val="left" w:pos="1985"/>
        </w:tabs>
        <w:ind w:left="0" w:firstLine="640"/>
        <w:rPr>
          <w:rFonts w:ascii="华文仿宋" w:hAnsi="华文仿宋"/>
          <w:szCs w:val="32"/>
        </w:rPr>
      </w:pPr>
      <w:r>
        <w:rPr>
          <w:rFonts w:ascii="华文仿宋" w:hAnsi="华文仿宋" w:hint="eastAsia"/>
          <w:szCs w:val="32"/>
        </w:rPr>
        <w:t>执法机关审查先行发布禁令的申请时，应当综合考量下列因素：</w:t>
      </w:r>
    </w:p>
    <w:p w:rsidR="0003337C" w:rsidRDefault="00B90160">
      <w:pPr>
        <w:pStyle w:val="1"/>
        <w:numPr>
          <w:ilvl w:val="0"/>
          <w:numId w:val="4"/>
        </w:numPr>
        <w:tabs>
          <w:tab w:val="left" w:pos="1560"/>
        </w:tabs>
        <w:ind w:left="0" w:firstLine="640"/>
        <w:rPr>
          <w:rFonts w:ascii="华文仿宋" w:hAnsi="华文仿宋"/>
          <w:szCs w:val="32"/>
        </w:rPr>
      </w:pPr>
      <w:r>
        <w:rPr>
          <w:rFonts w:ascii="华文仿宋" w:hAnsi="华文仿宋" w:hint="eastAsia"/>
          <w:szCs w:val="32"/>
        </w:rPr>
        <w:t>申请人的请求是否具有事实基础和法律依据，包括请求保护的知识产权效力是否稳定；</w:t>
      </w:r>
    </w:p>
    <w:p w:rsidR="0003337C" w:rsidRDefault="00B90160">
      <w:pPr>
        <w:pStyle w:val="1"/>
        <w:numPr>
          <w:ilvl w:val="0"/>
          <w:numId w:val="4"/>
        </w:numPr>
        <w:tabs>
          <w:tab w:val="left" w:pos="1560"/>
        </w:tabs>
        <w:ind w:left="0" w:firstLine="640"/>
        <w:rPr>
          <w:rFonts w:ascii="华文仿宋" w:hAnsi="华文仿宋"/>
          <w:szCs w:val="32"/>
        </w:rPr>
      </w:pPr>
      <w:r>
        <w:rPr>
          <w:rFonts w:ascii="华文仿宋" w:hAnsi="华文仿宋" w:hint="eastAsia"/>
          <w:szCs w:val="32"/>
        </w:rPr>
        <w:t>先行发布禁令是否会损害社会公共利益；</w:t>
      </w:r>
    </w:p>
    <w:p w:rsidR="0003337C" w:rsidRDefault="00B90160">
      <w:pPr>
        <w:pStyle w:val="1"/>
        <w:numPr>
          <w:ilvl w:val="0"/>
          <w:numId w:val="4"/>
        </w:numPr>
        <w:tabs>
          <w:tab w:val="left" w:pos="1560"/>
        </w:tabs>
        <w:ind w:left="0" w:firstLine="640"/>
        <w:rPr>
          <w:rFonts w:ascii="华文仿宋" w:hAnsi="华文仿宋"/>
          <w:szCs w:val="32"/>
        </w:rPr>
      </w:pPr>
      <w:r>
        <w:rPr>
          <w:rFonts w:ascii="华文仿宋" w:hAnsi="华文仿宋" w:hint="eastAsia"/>
          <w:szCs w:val="32"/>
        </w:rPr>
        <w:t>不先行发布禁令对申请人造成的损害是否将显著超过先行发布禁令对被申请人造成的损害；</w:t>
      </w:r>
    </w:p>
    <w:p w:rsidR="0003337C" w:rsidRDefault="00B90160">
      <w:pPr>
        <w:pStyle w:val="1"/>
        <w:numPr>
          <w:ilvl w:val="0"/>
          <w:numId w:val="4"/>
        </w:numPr>
        <w:tabs>
          <w:tab w:val="left" w:pos="1560"/>
        </w:tabs>
        <w:ind w:left="0" w:firstLine="640"/>
        <w:rPr>
          <w:rFonts w:ascii="华文仿宋" w:hAnsi="华文仿宋"/>
          <w:szCs w:val="32"/>
        </w:rPr>
      </w:pPr>
      <w:r>
        <w:rPr>
          <w:rFonts w:ascii="华文仿宋" w:hAnsi="华文仿宋" w:hint="eastAsia"/>
          <w:szCs w:val="32"/>
        </w:rPr>
        <w:t>禁令涉及的产品（设计）生命周期的长短；</w:t>
      </w:r>
    </w:p>
    <w:p w:rsidR="0003337C" w:rsidRDefault="00B90160">
      <w:pPr>
        <w:pStyle w:val="1"/>
        <w:numPr>
          <w:ilvl w:val="0"/>
          <w:numId w:val="4"/>
        </w:numPr>
        <w:tabs>
          <w:tab w:val="left" w:pos="1560"/>
        </w:tabs>
        <w:ind w:left="0" w:firstLine="640"/>
        <w:rPr>
          <w:rFonts w:ascii="华文仿宋" w:hAnsi="华文仿宋"/>
          <w:szCs w:val="32"/>
        </w:rPr>
      </w:pPr>
      <w:r>
        <w:rPr>
          <w:rFonts w:ascii="华文仿宋" w:hAnsi="华文仿宋" w:hint="eastAsia"/>
          <w:szCs w:val="32"/>
        </w:rPr>
        <w:t>其他应当考量的因素。</w:t>
      </w:r>
    </w:p>
    <w:p w:rsidR="0003337C" w:rsidRDefault="00B90160">
      <w:pPr>
        <w:pStyle w:val="1"/>
        <w:numPr>
          <w:ilvl w:val="0"/>
          <w:numId w:val="2"/>
        </w:numPr>
        <w:tabs>
          <w:tab w:val="left" w:pos="1985"/>
        </w:tabs>
        <w:ind w:left="0" w:firstLine="640"/>
        <w:rPr>
          <w:rFonts w:ascii="华文仿宋" w:hAnsi="华文仿宋"/>
          <w:szCs w:val="32"/>
        </w:rPr>
      </w:pPr>
      <w:r>
        <w:rPr>
          <w:rFonts w:ascii="华文仿宋" w:hAnsi="华文仿宋" w:hint="eastAsia"/>
          <w:szCs w:val="32"/>
        </w:rPr>
        <w:lastRenderedPageBreak/>
        <w:t>执法机关审查判断申请人请求保护的知识产权效力是否稳定，应当综合考量下列因素：</w:t>
      </w:r>
    </w:p>
    <w:p w:rsidR="0003337C" w:rsidRDefault="00B90160">
      <w:pPr>
        <w:pStyle w:val="1"/>
        <w:numPr>
          <w:ilvl w:val="0"/>
          <w:numId w:val="5"/>
        </w:numPr>
        <w:tabs>
          <w:tab w:val="left" w:pos="1560"/>
        </w:tabs>
        <w:ind w:left="0" w:firstLine="640"/>
        <w:rPr>
          <w:rFonts w:ascii="华文仿宋" w:hAnsi="华文仿宋"/>
          <w:szCs w:val="32"/>
        </w:rPr>
      </w:pPr>
      <w:r>
        <w:rPr>
          <w:rFonts w:ascii="华文仿宋" w:hAnsi="华文仿宋" w:hint="eastAsia"/>
          <w:szCs w:val="32"/>
        </w:rPr>
        <w:t>所涉权利的类型或者属性；</w:t>
      </w:r>
    </w:p>
    <w:p w:rsidR="0003337C" w:rsidRDefault="00B90160">
      <w:pPr>
        <w:pStyle w:val="1"/>
        <w:numPr>
          <w:ilvl w:val="0"/>
          <w:numId w:val="5"/>
        </w:numPr>
        <w:tabs>
          <w:tab w:val="left" w:pos="1560"/>
        </w:tabs>
        <w:ind w:left="0" w:firstLine="640"/>
        <w:rPr>
          <w:rFonts w:ascii="华文仿宋" w:hAnsi="华文仿宋"/>
          <w:szCs w:val="32"/>
        </w:rPr>
      </w:pPr>
      <w:r>
        <w:rPr>
          <w:rFonts w:ascii="华文仿宋" w:hAnsi="华文仿宋" w:hint="eastAsia"/>
          <w:szCs w:val="32"/>
        </w:rPr>
        <w:t>所涉权利是否经过实质审查；</w:t>
      </w:r>
    </w:p>
    <w:p w:rsidR="0003337C" w:rsidRDefault="00B90160">
      <w:pPr>
        <w:pStyle w:val="1"/>
        <w:numPr>
          <w:ilvl w:val="0"/>
          <w:numId w:val="5"/>
        </w:numPr>
        <w:tabs>
          <w:tab w:val="left" w:pos="1560"/>
        </w:tabs>
        <w:ind w:left="0" w:firstLine="640"/>
        <w:rPr>
          <w:rFonts w:ascii="华文仿宋" w:hAnsi="华文仿宋"/>
          <w:szCs w:val="32"/>
        </w:rPr>
      </w:pPr>
      <w:r>
        <w:rPr>
          <w:rFonts w:ascii="华文仿宋" w:hAnsi="华文仿宋" w:hint="eastAsia"/>
          <w:szCs w:val="32"/>
        </w:rPr>
        <w:t>所涉权利是否处于宣告无效或者撤销程序中以及被宣告无效或者撤销的可能性；</w:t>
      </w:r>
    </w:p>
    <w:p w:rsidR="0003337C" w:rsidRDefault="00B90160">
      <w:pPr>
        <w:pStyle w:val="1"/>
        <w:numPr>
          <w:ilvl w:val="0"/>
          <w:numId w:val="5"/>
        </w:numPr>
        <w:tabs>
          <w:tab w:val="left" w:pos="1560"/>
        </w:tabs>
        <w:ind w:left="0" w:firstLine="640"/>
        <w:rPr>
          <w:rFonts w:ascii="华文仿宋" w:hAnsi="华文仿宋"/>
          <w:szCs w:val="32"/>
        </w:rPr>
      </w:pPr>
      <w:r>
        <w:rPr>
          <w:rFonts w:ascii="华文仿宋" w:hAnsi="华文仿宋" w:hint="eastAsia"/>
          <w:szCs w:val="32"/>
        </w:rPr>
        <w:t>所涉权利是否存在权属争议；</w:t>
      </w:r>
    </w:p>
    <w:p w:rsidR="0003337C" w:rsidRDefault="00B90160">
      <w:pPr>
        <w:pStyle w:val="1"/>
        <w:numPr>
          <w:ilvl w:val="0"/>
          <w:numId w:val="5"/>
        </w:numPr>
        <w:tabs>
          <w:tab w:val="left" w:pos="1560"/>
        </w:tabs>
        <w:ind w:left="0" w:firstLine="640"/>
        <w:rPr>
          <w:rFonts w:ascii="华文仿宋" w:hAnsi="华文仿宋"/>
          <w:szCs w:val="32"/>
        </w:rPr>
      </w:pPr>
      <w:r>
        <w:rPr>
          <w:rFonts w:ascii="华文仿宋" w:hAnsi="华文仿宋" w:hint="eastAsia"/>
          <w:szCs w:val="32"/>
        </w:rPr>
        <w:t>其他可能导致所涉权利效力不稳定的因素。</w:t>
      </w:r>
    </w:p>
    <w:p w:rsidR="0003337C" w:rsidRDefault="00B90160">
      <w:pPr>
        <w:pStyle w:val="1"/>
        <w:numPr>
          <w:ilvl w:val="0"/>
          <w:numId w:val="2"/>
        </w:numPr>
        <w:tabs>
          <w:tab w:val="left" w:pos="1985"/>
        </w:tabs>
        <w:ind w:left="0" w:firstLine="640"/>
        <w:rPr>
          <w:rFonts w:ascii="华文仿宋" w:hAnsi="华文仿宋"/>
          <w:szCs w:val="32"/>
        </w:rPr>
      </w:pPr>
      <w:r>
        <w:rPr>
          <w:rFonts w:ascii="华文仿宋" w:hAnsi="华文仿宋" w:hint="eastAsia"/>
          <w:szCs w:val="32"/>
        </w:rPr>
        <w:t>执法机关作出先行发布禁令决定前，可以询问申请人和被申请人，但因情况紧急或者询问可能影响禁令执行等情形除外。</w:t>
      </w:r>
    </w:p>
    <w:p w:rsidR="0003337C" w:rsidRDefault="00B90160">
      <w:pPr>
        <w:pStyle w:val="1"/>
        <w:numPr>
          <w:ilvl w:val="0"/>
          <w:numId w:val="2"/>
        </w:numPr>
        <w:tabs>
          <w:tab w:val="left" w:pos="2268"/>
        </w:tabs>
        <w:ind w:left="0" w:firstLine="640"/>
        <w:rPr>
          <w:rFonts w:ascii="华文仿宋" w:hAnsi="华文仿宋"/>
          <w:szCs w:val="32"/>
        </w:rPr>
      </w:pPr>
      <w:r>
        <w:rPr>
          <w:rFonts w:ascii="华文仿宋" w:hAnsi="华文仿宋" w:hint="eastAsia"/>
          <w:szCs w:val="32"/>
        </w:rPr>
        <w:t>执法机关采取的禁令措施，一般不因被申请人提供反担保而解除，但是申请人同意的除外。</w:t>
      </w:r>
    </w:p>
    <w:p w:rsidR="0003337C" w:rsidRDefault="00B90160">
      <w:pPr>
        <w:pStyle w:val="1"/>
        <w:numPr>
          <w:ilvl w:val="0"/>
          <w:numId w:val="2"/>
        </w:numPr>
        <w:tabs>
          <w:tab w:val="left" w:pos="2268"/>
        </w:tabs>
        <w:ind w:left="0" w:firstLine="640"/>
        <w:rPr>
          <w:rFonts w:ascii="华文仿宋" w:hAnsi="华文仿宋"/>
          <w:szCs w:val="32"/>
        </w:rPr>
      </w:pPr>
      <w:r>
        <w:rPr>
          <w:rFonts w:ascii="华文仿宋" w:hAnsi="华文仿宋" w:hint="eastAsia"/>
          <w:szCs w:val="32"/>
        </w:rPr>
        <w:t>执法机关作出先行发布禁令的决定，应当根据申请人的请求或者投诉的具体情况等因素合理确定禁令期限。禁令期限一般应当维持至行政处罚决定或行政处理决定生效时止，一般不超过4个月。</w:t>
      </w:r>
    </w:p>
    <w:p w:rsidR="0003337C" w:rsidRDefault="00B90160">
      <w:pPr>
        <w:pStyle w:val="1"/>
        <w:numPr>
          <w:ilvl w:val="0"/>
          <w:numId w:val="2"/>
        </w:numPr>
        <w:tabs>
          <w:tab w:val="left" w:pos="2268"/>
        </w:tabs>
        <w:ind w:left="0" w:firstLine="640"/>
        <w:rPr>
          <w:rFonts w:ascii="华文仿宋" w:hAnsi="华文仿宋"/>
          <w:szCs w:val="32"/>
        </w:rPr>
      </w:pPr>
      <w:r>
        <w:rPr>
          <w:rFonts w:ascii="华文仿宋" w:hAnsi="华文仿宋" w:hint="eastAsia"/>
          <w:szCs w:val="32"/>
        </w:rPr>
        <w:t>禁令期限届满前，执法机关可以依职权，或者根据申请人的请求，作出延长禁令期限的决定。申请人请求延长禁令期限的，应当在期限届满前七日内提出。</w:t>
      </w:r>
    </w:p>
    <w:p w:rsidR="0003337C" w:rsidRDefault="00B90160">
      <w:pPr>
        <w:pStyle w:val="1"/>
        <w:numPr>
          <w:ilvl w:val="0"/>
          <w:numId w:val="2"/>
        </w:numPr>
        <w:tabs>
          <w:tab w:val="left" w:pos="2268"/>
        </w:tabs>
        <w:ind w:left="0" w:firstLine="640"/>
        <w:rPr>
          <w:rFonts w:ascii="华文仿宋" w:hAnsi="华文仿宋"/>
          <w:szCs w:val="32"/>
        </w:rPr>
      </w:pPr>
      <w:r>
        <w:rPr>
          <w:rFonts w:ascii="华文仿宋" w:hAnsi="华文仿宋" w:hint="eastAsia"/>
          <w:szCs w:val="32"/>
        </w:rPr>
        <w:t>执法机关作出先行发布禁令决定的，应当向申请人、被申请人送达决定书。执法机关作出驳回禁令申请决定的，</w:t>
      </w:r>
      <w:r>
        <w:rPr>
          <w:rFonts w:ascii="华文仿宋" w:hAnsi="华文仿宋" w:hint="eastAsia"/>
          <w:szCs w:val="32"/>
        </w:rPr>
        <w:lastRenderedPageBreak/>
        <w:t>应当及时通知申请人。</w:t>
      </w:r>
    </w:p>
    <w:p w:rsidR="0003337C" w:rsidRDefault="00B90160">
      <w:pPr>
        <w:tabs>
          <w:tab w:val="left" w:pos="2268"/>
        </w:tabs>
        <w:ind w:firstLine="640"/>
        <w:rPr>
          <w:rFonts w:ascii="华文仿宋" w:hAnsi="华文仿宋"/>
          <w:szCs w:val="32"/>
        </w:rPr>
      </w:pPr>
      <w:r>
        <w:rPr>
          <w:rFonts w:ascii="华文仿宋" w:hAnsi="华文仿宋" w:hint="eastAsia"/>
          <w:szCs w:val="32"/>
        </w:rPr>
        <w:t>执法文书的送达参照执行《市场监督管理行政处罚程序暂行规定》。</w:t>
      </w:r>
    </w:p>
    <w:p w:rsidR="0003337C" w:rsidRDefault="00B90160">
      <w:pPr>
        <w:pStyle w:val="1"/>
        <w:numPr>
          <w:ilvl w:val="0"/>
          <w:numId w:val="1"/>
        </w:numPr>
        <w:tabs>
          <w:tab w:val="left" w:pos="1985"/>
        </w:tabs>
        <w:ind w:firstLineChars="0"/>
        <w:jc w:val="center"/>
        <w:rPr>
          <w:rFonts w:ascii="黑体" w:eastAsia="黑体" w:hAnsi="黑体"/>
          <w:szCs w:val="32"/>
        </w:rPr>
      </w:pPr>
      <w:r>
        <w:rPr>
          <w:rFonts w:ascii="黑体" w:eastAsia="黑体" w:hAnsi="黑体" w:hint="eastAsia"/>
          <w:szCs w:val="32"/>
        </w:rPr>
        <w:t>禁令的解除</w:t>
      </w:r>
    </w:p>
    <w:p w:rsidR="0003337C" w:rsidRDefault="00B90160">
      <w:pPr>
        <w:pStyle w:val="1"/>
        <w:numPr>
          <w:ilvl w:val="0"/>
          <w:numId w:val="2"/>
        </w:numPr>
        <w:tabs>
          <w:tab w:val="left" w:pos="2268"/>
        </w:tabs>
        <w:ind w:left="0" w:firstLine="640"/>
        <w:rPr>
          <w:rFonts w:ascii="华文仿宋" w:hAnsi="华文仿宋"/>
          <w:szCs w:val="32"/>
        </w:rPr>
      </w:pPr>
      <w:r>
        <w:rPr>
          <w:rFonts w:ascii="华文仿宋" w:hAnsi="华文仿宋" w:hint="eastAsia"/>
          <w:szCs w:val="32"/>
        </w:rPr>
        <w:t>执法机关发布禁令后，有下列情形之一的，应当解除禁令：</w:t>
      </w:r>
    </w:p>
    <w:p w:rsidR="0003337C" w:rsidRDefault="00B90160">
      <w:pPr>
        <w:pStyle w:val="1"/>
        <w:numPr>
          <w:ilvl w:val="0"/>
          <w:numId w:val="6"/>
        </w:numPr>
        <w:ind w:left="0" w:firstLine="640"/>
        <w:rPr>
          <w:rFonts w:ascii="华文仿宋" w:hAnsi="华文仿宋"/>
          <w:szCs w:val="32"/>
        </w:rPr>
      </w:pPr>
      <w:r>
        <w:rPr>
          <w:rFonts w:ascii="华文仿宋" w:hAnsi="华文仿宋" w:hint="eastAsia"/>
          <w:szCs w:val="32"/>
        </w:rPr>
        <w:t>禁令期限届满；</w:t>
      </w:r>
    </w:p>
    <w:p w:rsidR="0003337C" w:rsidRDefault="00B90160">
      <w:pPr>
        <w:pStyle w:val="1"/>
        <w:numPr>
          <w:ilvl w:val="0"/>
          <w:numId w:val="6"/>
        </w:numPr>
        <w:ind w:left="0" w:firstLine="640"/>
        <w:rPr>
          <w:rFonts w:ascii="华文仿宋" w:hAnsi="华文仿宋"/>
          <w:szCs w:val="32"/>
        </w:rPr>
      </w:pPr>
      <w:r>
        <w:rPr>
          <w:rFonts w:ascii="华文仿宋" w:hAnsi="华文仿宋" w:hint="eastAsia"/>
          <w:szCs w:val="32"/>
        </w:rPr>
        <w:t>禁令依据的行政处罚案件或行政处理案件已结案，并已作出侵权与否的结论；</w:t>
      </w:r>
    </w:p>
    <w:p w:rsidR="0003337C" w:rsidRDefault="00B90160">
      <w:pPr>
        <w:pStyle w:val="1"/>
        <w:numPr>
          <w:ilvl w:val="0"/>
          <w:numId w:val="6"/>
        </w:numPr>
        <w:ind w:left="0" w:firstLine="640"/>
        <w:rPr>
          <w:rFonts w:ascii="华文仿宋" w:hAnsi="华文仿宋"/>
          <w:szCs w:val="32"/>
        </w:rPr>
      </w:pPr>
      <w:r>
        <w:rPr>
          <w:rFonts w:ascii="华文仿宋" w:hAnsi="华文仿宋" w:hint="eastAsia"/>
          <w:szCs w:val="32"/>
        </w:rPr>
        <w:t>申请人撤回禁令申请；</w:t>
      </w:r>
    </w:p>
    <w:p w:rsidR="0003337C" w:rsidRDefault="00B90160">
      <w:pPr>
        <w:pStyle w:val="1"/>
        <w:numPr>
          <w:ilvl w:val="0"/>
          <w:numId w:val="6"/>
        </w:numPr>
        <w:ind w:left="0" w:firstLine="640"/>
        <w:rPr>
          <w:rFonts w:ascii="华文仿宋" w:hAnsi="华文仿宋"/>
          <w:szCs w:val="32"/>
        </w:rPr>
      </w:pPr>
      <w:r>
        <w:rPr>
          <w:rFonts w:ascii="华文仿宋" w:hAnsi="华文仿宋" w:hint="eastAsia"/>
          <w:szCs w:val="32"/>
        </w:rPr>
        <w:t>申请人撤回行政案件投诉请求；</w:t>
      </w:r>
    </w:p>
    <w:p w:rsidR="0003337C" w:rsidRDefault="00B90160">
      <w:pPr>
        <w:pStyle w:val="1"/>
        <w:numPr>
          <w:ilvl w:val="0"/>
          <w:numId w:val="6"/>
        </w:numPr>
        <w:ind w:left="0" w:firstLine="640"/>
        <w:rPr>
          <w:rFonts w:ascii="华文仿宋" w:hAnsi="华文仿宋"/>
          <w:szCs w:val="32"/>
        </w:rPr>
      </w:pPr>
      <w:r>
        <w:rPr>
          <w:rFonts w:ascii="华文仿宋" w:hAnsi="华文仿宋" w:hint="eastAsia"/>
          <w:szCs w:val="32"/>
        </w:rPr>
        <w:t>禁令依据的知识产权被宣告无效。</w:t>
      </w:r>
    </w:p>
    <w:p w:rsidR="0003337C" w:rsidRDefault="00B90160">
      <w:pPr>
        <w:pStyle w:val="1"/>
        <w:numPr>
          <w:ilvl w:val="0"/>
          <w:numId w:val="2"/>
        </w:numPr>
        <w:tabs>
          <w:tab w:val="left" w:pos="2268"/>
        </w:tabs>
        <w:ind w:left="0" w:firstLine="640"/>
        <w:rPr>
          <w:rFonts w:ascii="华文仿宋" w:hAnsi="华文仿宋"/>
          <w:szCs w:val="32"/>
        </w:rPr>
      </w:pPr>
      <w:r>
        <w:rPr>
          <w:rFonts w:ascii="华文仿宋" w:hAnsi="华文仿宋" w:hint="eastAsia"/>
          <w:szCs w:val="32"/>
        </w:rPr>
        <w:t>执法机关发布禁令后，有下列情形之一的，可以解除禁令：</w:t>
      </w:r>
    </w:p>
    <w:p w:rsidR="0003337C" w:rsidRDefault="00B90160">
      <w:pPr>
        <w:pStyle w:val="1"/>
        <w:numPr>
          <w:ilvl w:val="0"/>
          <w:numId w:val="7"/>
        </w:numPr>
        <w:ind w:left="0" w:firstLine="640"/>
        <w:rPr>
          <w:rFonts w:ascii="华文仿宋" w:hAnsi="华文仿宋"/>
          <w:szCs w:val="32"/>
        </w:rPr>
      </w:pPr>
      <w:r>
        <w:rPr>
          <w:rFonts w:ascii="华文仿宋" w:hAnsi="华文仿宋" w:hint="eastAsia"/>
          <w:szCs w:val="32"/>
        </w:rPr>
        <w:t>禁令依据的知识产权处于无效宣告程序中；</w:t>
      </w:r>
    </w:p>
    <w:p w:rsidR="0003337C" w:rsidRDefault="00B90160">
      <w:pPr>
        <w:pStyle w:val="1"/>
        <w:numPr>
          <w:ilvl w:val="0"/>
          <w:numId w:val="7"/>
        </w:numPr>
        <w:ind w:left="0" w:firstLine="640"/>
        <w:rPr>
          <w:rFonts w:ascii="华文仿宋" w:hAnsi="华文仿宋"/>
          <w:szCs w:val="32"/>
        </w:rPr>
      </w:pPr>
      <w:r>
        <w:rPr>
          <w:rFonts w:ascii="华文仿宋" w:hAnsi="华文仿宋" w:hint="eastAsia"/>
          <w:szCs w:val="32"/>
        </w:rPr>
        <w:t>被申请人提供了反担保，且申请人同意在此反担保基础上解除禁令的；</w:t>
      </w:r>
    </w:p>
    <w:p w:rsidR="0003337C" w:rsidRDefault="00B90160">
      <w:pPr>
        <w:pStyle w:val="1"/>
        <w:numPr>
          <w:ilvl w:val="0"/>
          <w:numId w:val="7"/>
        </w:numPr>
        <w:ind w:left="0" w:firstLine="640"/>
        <w:rPr>
          <w:rFonts w:ascii="华文仿宋" w:hAnsi="华文仿宋"/>
          <w:szCs w:val="32"/>
        </w:rPr>
      </w:pPr>
      <w:r>
        <w:rPr>
          <w:rFonts w:ascii="华文仿宋" w:hAnsi="华文仿宋" w:hint="eastAsia"/>
          <w:szCs w:val="32"/>
        </w:rPr>
        <w:t>执法机关认为可以解除禁令的其他情形。</w:t>
      </w:r>
    </w:p>
    <w:p w:rsidR="0003337C" w:rsidRDefault="00B90160">
      <w:pPr>
        <w:pStyle w:val="1"/>
        <w:numPr>
          <w:ilvl w:val="0"/>
          <w:numId w:val="2"/>
        </w:numPr>
        <w:tabs>
          <w:tab w:val="left" w:pos="2268"/>
        </w:tabs>
        <w:ind w:left="0" w:firstLine="640"/>
        <w:rPr>
          <w:rFonts w:ascii="华文仿宋" w:hAnsi="华文仿宋"/>
          <w:szCs w:val="32"/>
        </w:rPr>
      </w:pPr>
      <w:r>
        <w:rPr>
          <w:rFonts w:ascii="华文仿宋" w:hAnsi="华文仿宋" w:hint="eastAsia"/>
          <w:szCs w:val="32"/>
        </w:rPr>
        <w:t>符合本规定第十五条第（一）项、第（二）项情形之一的，禁令自动解除。</w:t>
      </w:r>
    </w:p>
    <w:p w:rsidR="0003337C" w:rsidRDefault="00B90160">
      <w:pPr>
        <w:tabs>
          <w:tab w:val="left" w:pos="2268"/>
        </w:tabs>
        <w:ind w:firstLine="640"/>
        <w:rPr>
          <w:rFonts w:ascii="华文仿宋" w:hAnsi="华文仿宋"/>
          <w:szCs w:val="32"/>
        </w:rPr>
      </w:pPr>
      <w:r>
        <w:rPr>
          <w:rFonts w:ascii="华文仿宋" w:hAnsi="华文仿宋" w:hint="eastAsia"/>
          <w:szCs w:val="32"/>
        </w:rPr>
        <w:t>禁令解除不属于上款规定情形的，应当通知申请人、被申请人禁令解除。</w:t>
      </w:r>
    </w:p>
    <w:p w:rsidR="0003337C" w:rsidRDefault="00B90160">
      <w:pPr>
        <w:pStyle w:val="1"/>
        <w:numPr>
          <w:ilvl w:val="0"/>
          <w:numId w:val="2"/>
        </w:numPr>
        <w:tabs>
          <w:tab w:val="left" w:pos="2268"/>
        </w:tabs>
        <w:ind w:left="0" w:firstLine="640"/>
        <w:rPr>
          <w:rFonts w:ascii="华文仿宋" w:hAnsi="华文仿宋"/>
          <w:szCs w:val="32"/>
        </w:rPr>
      </w:pPr>
      <w:r>
        <w:rPr>
          <w:rFonts w:ascii="华文仿宋" w:hAnsi="华文仿宋" w:hint="eastAsia"/>
          <w:szCs w:val="32"/>
        </w:rPr>
        <w:lastRenderedPageBreak/>
        <w:t>禁令解除后，经生效的行政处罚决定或行政处理决定认定构成侵权的，担保金全额退回担保人。</w:t>
      </w:r>
    </w:p>
    <w:p w:rsidR="0003337C" w:rsidRDefault="00B90160">
      <w:pPr>
        <w:pStyle w:val="1"/>
        <w:numPr>
          <w:ilvl w:val="0"/>
          <w:numId w:val="1"/>
        </w:numPr>
        <w:tabs>
          <w:tab w:val="left" w:pos="1985"/>
        </w:tabs>
        <w:ind w:firstLineChars="0"/>
        <w:jc w:val="center"/>
        <w:rPr>
          <w:rFonts w:ascii="黑体" w:eastAsia="黑体" w:hAnsi="黑体"/>
          <w:szCs w:val="32"/>
        </w:rPr>
      </w:pPr>
      <w:r>
        <w:rPr>
          <w:rFonts w:ascii="黑体" w:eastAsia="黑体" w:hAnsi="黑体" w:hint="eastAsia"/>
          <w:szCs w:val="32"/>
        </w:rPr>
        <w:t>附则</w:t>
      </w:r>
    </w:p>
    <w:p w:rsidR="0003337C" w:rsidRDefault="00B90160">
      <w:pPr>
        <w:pStyle w:val="1"/>
        <w:numPr>
          <w:ilvl w:val="0"/>
          <w:numId w:val="2"/>
        </w:numPr>
        <w:tabs>
          <w:tab w:val="left" w:pos="2268"/>
        </w:tabs>
        <w:ind w:left="0" w:firstLine="640"/>
        <w:rPr>
          <w:rFonts w:ascii="华文仿宋" w:hAnsi="华文仿宋"/>
          <w:szCs w:val="32"/>
        </w:rPr>
      </w:pPr>
      <w:r>
        <w:rPr>
          <w:rFonts w:ascii="华文仿宋" w:hAnsi="华文仿宋" w:hint="eastAsia"/>
          <w:szCs w:val="32"/>
        </w:rPr>
        <w:t>申请人申请禁令错误造成被申请人损失的，被申请人可以在相应的行政案件中依法提出损害赔偿调解请求，执法机关可以依申请调解一次。调解成功的，申请人根据提供担保时的承诺，以担保金或者申请人其他资产承担相应的损害赔偿责任。调解不成的，被申请人可以通过民事诉讼解决有关损害赔偿问题。</w:t>
      </w:r>
    </w:p>
    <w:p w:rsidR="0003337C" w:rsidRDefault="00B90160" w:rsidP="002E0A83">
      <w:pPr>
        <w:pStyle w:val="1"/>
        <w:numPr>
          <w:ilvl w:val="0"/>
          <w:numId w:val="2"/>
        </w:numPr>
        <w:tabs>
          <w:tab w:val="left" w:pos="2268"/>
        </w:tabs>
        <w:ind w:left="0" w:firstLine="640"/>
        <w:rPr>
          <w:rFonts w:ascii="华文仿宋" w:hAnsi="华文仿宋"/>
          <w:szCs w:val="32"/>
        </w:rPr>
      </w:pPr>
      <w:r w:rsidRPr="002E0A83">
        <w:rPr>
          <w:rFonts w:ascii="华文仿宋" w:hAnsi="华文仿宋" w:hint="eastAsia"/>
          <w:szCs w:val="32"/>
        </w:rPr>
        <w:t>本规定自公布之日起试行，有效期五年。</w:t>
      </w:r>
    </w:p>
    <w:sectPr w:rsidR="0003337C" w:rsidSect="0003337C">
      <w:headerReference w:type="even" r:id="rId8"/>
      <w:headerReference w:type="default" r:id="rId9"/>
      <w:footerReference w:type="even" r:id="rId10"/>
      <w:footerReference w:type="default" r:id="rId11"/>
      <w:headerReference w:type="first" r:id="rId12"/>
      <w:footerReference w:type="first" r:id="rId13"/>
      <w:pgSz w:w="11906" w:h="16838"/>
      <w:pgMar w:top="1440" w:right="1474" w:bottom="1440" w:left="147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1ED4" w:rsidRDefault="00D31ED4">
      <w:pPr>
        <w:ind w:firstLine="640"/>
      </w:pPr>
      <w:r>
        <w:separator/>
      </w:r>
    </w:p>
  </w:endnote>
  <w:endnote w:type="continuationSeparator" w:id="0">
    <w:p w:rsidR="00D31ED4" w:rsidRDefault="00D31ED4">
      <w:pPr>
        <w:ind w:firstLine="64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37C" w:rsidRDefault="0003337C">
    <w:pPr>
      <w:pStyle w:val="a3"/>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851616"/>
    </w:sdtPr>
    <w:sdtContent>
      <w:p w:rsidR="0003337C" w:rsidRDefault="00F44578">
        <w:pPr>
          <w:pStyle w:val="a3"/>
          <w:ind w:firstLine="360"/>
          <w:jc w:val="center"/>
        </w:pPr>
        <w:r w:rsidRPr="00F44578">
          <w:fldChar w:fldCharType="begin"/>
        </w:r>
        <w:r w:rsidR="00B90160">
          <w:instrText xml:space="preserve"> PAGE   \* MERGEFORMAT </w:instrText>
        </w:r>
        <w:r w:rsidRPr="00F44578">
          <w:fldChar w:fldCharType="separate"/>
        </w:r>
        <w:r w:rsidR="002E0A83" w:rsidRPr="002E0A83">
          <w:rPr>
            <w:noProof/>
            <w:lang w:val="zh-CN"/>
          </w:rPr>
          <w:t>6</w:t>
        </w:r>
        <w:r>
          <w:rPr>
            <w:lang w:val="zh-CN"/>
          </w:rPr>
          <w:fldChar w:fldCharType="end"/>
        </w:r>
      </w:p>
    </w:sdtContent>
  </w:sdt>
  <w:p w:rsidR="0003337C" w:rsidRDefault="0003337C">
    <w:pPr>
      <w:pStyle w:val="a3"/>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37C" w:rsidRDefault="0003337C">
    <w:pPr>
      <w:pStyle w:val="a3"/>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1ED4" w:rsidRDefault="00D31ED4">
      <w:pPr>
        <w:ind w:firstLine="640"/>
      </w:pPr>
      <w:r>
        <w:separator/>
      </w:r>
    </w:p>
  </w:footnote>
  <w:footnote w:type="continuationSeparator" w:id="0">
    <w:p w:rsidR="00D31ED4" w:rsidRDefault="00D31ED4">
      <w:pPr>
        <w:ind w:firstLine="64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37C" w:rsidRDefault="0003337C">
    <w:pPr>
      <w:pStyle w:val="a4"/>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37C" w:rsidRDefault="0003337C" w:rsidP="00FC3D3E">
    <w:pPr>
      <w:pStyle w:val="a4"/>
      <w:pBdr>
        <w:bottom w:val="none" w:sz="0" w:space="0" w:color="auto"/>
      </w:pBdr>
      <w:ind w:firstLine="360"/>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37C" w:rsidRDefault="0003337C">
    <w:pPr>
      <w:pStyle w:val="a4"/>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32E29"/>
    <w:multiLevelType w:val="multilevel"/>
    <w:tmpl w:val="0E632E29"/>
    <w:lvl w:ilvl="0">
      <w:start w:val="1"/>
      <w:numFmt w:val="japaneseCounting"/>
      <w:lvlText w:val="第%1条"/>
      <w:lvlJc w:val="left"/>
      <w:pPr>
        <w:ind w:left="2913" w:hanging="1920"/>
      </w:pPr>
      <w:rPr>
        <w:rFonts w:hint="default"/>
        <w:lang w:val="en-US"/>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1">
    <w:nsid w:val="184138B2"/>
    <w:multiLevelType w:val="multilevel"/>
    <w:tmpl w:val="184138B2"/>
    <w:lvl w:ilvl="0">
      <w:start w:val="1"/>
      <w:numFmt w:val="japaneseCounting"/>
      <w:lvlText w:val="第%1章"/>
      <w:lvlJc w:val="left"/>
      <w:pPr>
        <w:ind w:left="1155" w:hanging="1155"/>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2C71374C"/>
    <w:multiLevelType w:val="multilevel"/>
    <w:tmpl w:val="2C71374C"/>
    <w:lvl w:ilvl="0">
      <w:start w:val="1"/>
      <w:numFmt w:val="japaneseCounting"/>
      <w:lvlText w:val="（%1）"/>
      <w:lvlJc w:val="left"/>
      <w:pPr>
        <w:ind w:left="1720" w:hanging="108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3">
    <w:nsid w:val="3A4F186F"/>
    <w:multiLevelType w:val="multilevel"/>
    <w:tmpl w:val="3A4F186F"/>
    <w:lvl w:ilvl="0">
      <w:start w:val="1"/>
      <w:numFmt w:val="japaneseCounting"/>
      <w:lvlText w:val="（%1）"/>
      <w:lvlJc w:val="left"/>
      <w:pPr>
        <w:ind w:left="1720" w:hanging="108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4">
    <w:nsid w:val="47DF0416"/>
    <w:multiLevelType w:val="multilevel"/>
    <w:tmpl w:val="47DF0416"/>
    <w:lvl w:ilvl="0">
      <w:start w:val="1"/>
      <w:numFmt w:val="japaneseCounting"/>
      <w:lvlText w:val="（%1）"/>
      <w:lvlJc w:val="left"/>
      <w:pPr>
        <w:ind w:left="1720" w:hanging="108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5">
    <w:nsid w:val="63102CE0"/>
    <w:multiLevelType w:val="multilevel"/>
    <w:tmpl w:val="63102CE0"/>
    <w:lvl w:ilvl="0">
      <w:start w:val="1"/>
      <w:numFmt w:val="japaneseCounting"/>
      <w:lvlText w:val="（%1）"/>
      <w:lvlJc w:val="left"/>
      <w:pPr>
        <w:ind w:left="2230" w:hanging="159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6">
    <w:nsid w:val="6FBB34A8"/>
    <w:multiLevelType w:val="multilevel"/>
    <w:tmpl w:val="6FBB34A8"/>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74BE651B"/>
    <w:multiLevelType w:val="multilevel"/>
    <w:tmpl w:val="74BE651B"/>
    <w:lvl w:ilvl="0">
      <w:start w:val="1"/>
      <w:numFmt w:val="japaneseCounting"/>
      <w:lvlText w:val="（%1）"/>
      <w:lvlJc w:val="left"/>
      <w:pPr>
        <w:ind w:left="1720" w:hanging="108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8">
    <w:nsid w:val="7D6E2B44"/>
    <w:multiLevelType w:val="multilevel"/>
    <w:tmpl w:val="7D6E2B44"/>
    <w:lvl w:ilvl="0">
      <w:start w:val="1"/>
      <w:numFmt w:val="japaneseCounting"/>
      <w:lvlText w:val="（%1）"/>
      <w:lvlJc w:val="left"/>
      <w:pPr>
        <w:ind w:left="1720" w:hanging="108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1"/>
  </w:num>
  <w:num w:numId="2">
    <w:abstractNumId w:val="0"/>
  </w:num>
  <w:num w:numId="3">
    <w:abstractNumId w:val="7"/>
  </w:num>
  <w:num w:numId="4">
    <w:abstractNumId w:val="5"/>
  </w:num>
  <w:num w:numId="5">
    <w:abstractNumId w:val="3"/>
  </w:num>
  <w:num w:numId="6">
    <w:abstractNumId w:val="4"/>
  </w:num>
  <w:num w:numId="7">
    <w:abstractNumId w:val="2"/>
  </w:num>
  <w:num w:numId="8">
    <w:abstractNumId w:val="6"/>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cumentProtection w:edit="trackedChanges" w:enforcement="0"/>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75E13"/>
    <w:rsid w:val="00015C77"/>
    <w:rsid w:val="0003337C"/>
    <w:rsid w:val="00067F43"/>
    <w:rsid w:val="000B42F1"/>
    <w:rsid w:val="000C36ED"/>
    <w:rsid w:val="000F0065"/>
    <w:rsid w:val="001066DA"/>
    <w:rsid w:val="0014239A"/>
    <w:rsid w:val="001616D2"/>
    <w:rsid w:val="001C16EF"/>
    <w:rsid w:val="001D3BFE"/>
    <w:rsid w:val="001D7321"/>
    <w:rsid w:val="00201E1B"/>
    <w:rsid w:val="00212B3C"/>
    <w:rsid w:val="002138CB"/>
    <w:rsid w:val="00233976"/>
    <w:rsid w:val="00235C06"/>
    <w:rsid w:val="00263593"/>
    <w:rsid w:val="002825A5"/>
    <w:rsid w:val="00292304"/>
    <w:rsid w:val="002C33E9"/>
    <w:rsid w:val="002E0A83"/>
    <w:rsid w:val="002E2117"/>
    <w:rsid w:val="003236D5"/>
    <w:rsid w:val="00372F63"/>
    <w:rsid w:val="00376B71"/>
    <w:rsid w:val="00392632"/>
    <w:rsid w:val="00396C39"/>
    <w:rsid w:val="003A1616"/>
    <w:rsid w:val="003B4406"/>
    <w:rsid w:val="003B49B1"/>
    <w:rsid w:val="003C4D99"/>
    <w:rsid w:val="003D3641"/>
    <w:rsid w:val="00407E24"/>
    <w:rsid w:val="00411087"/>
    <w:rsid w:val="0043688D"/>
    <w:rsid w:val="004567AF"/>
    <w:rsid w:val="00467E52"/>
    <w:rsid w:val="00484E78"/>
    <w:rsid w:val="0049055D"/>
    <w:rsid w:val="00493E15"/>
    <w:rsid w:val="004B18C5"/>
    <w:rsid w:val="004B7E35"/>
    <w:rsid w:val="00505750"/>
    <w:rsid w:val="00516C5A"/>
    <w:rsid w:val="00530648"/>
    <w:rsid w:val="005336E9"/>
    <w:rsid w:val="00540145"/>
    <w:rsid w:val="00546F29"/>
    <w:rsid w:val="005764B5"/>
    <w:rsid w:val="005C1065"/>
    <w:rsid w:val="005C2203"/>
    <w:rsid w:val="005F41CE"/>
    <w:rsid w:val="005F60A1"/>
    <w:rsid w:val="0063012C"/>
    <w:rsid w:val="00671D3F"/>
    <w:rsid w:val="006903B9"/>
    <w:rsid w:val="006944FD"/>
    <w:rsid w:val="006C4CC1"/>
    <w:rsid w:val="006C542A"/>
    <w:rsid w:val="006D07D9"/>
    <w:rsid w:val="006D3711"/>
    <w:rsid w:val="006E28EF"/>
    <w:rsid w:val="00703DF8"/>
    <w:rsid w:val="0070753A"/>
    <w:rsid w:val="00711871"/>
    <w:rsid w:val="00732DDB"/>
    <w:rsid w:val="00750528"/>
    <w:rsid w:val="007644D5"/>
    <w:rsid w:val="00775E13"/>
    <w:rsid w:val="0078340B"/>
    <w:rsid w:val="007843C8"/>
    <w:rsid w:val="0079151F"/>
    <w:rsid w:val="007B1626"/>
    <w:rsid w:val="007D11DA"/>
    <w:rsid w:val="007F0CDC"/>
    <w:rsid w:val="008055A4"/>
    <w:rsid w:val="008256B8"/>
    <w:rsid w:val="00833CBB"/>
    <w:rsid w:val="008467F3"/>
    <w:rsid w:val="00856010"/>
    <w:rsid w:val="00860BFD"/>
    <w:rsid w:val="00860D9A"/>
    <w:rsid w:val="00866AD8"/>
    <w:rsid w:val="008A718F"/>
    <w:rsid w:val="008C17AD"/>
    <w:rsid w:val="008F1E01"/>
    <w:rsid w:val="008F34CF"/>
    <w:rsid w:val="00901EF9"/>
    <w:rsid w:val="00905859"/>
    <w:rsid w:val="0093329B"/>
    <w:rsid w:val="009363C2"/>
    <w:rsid w:val="00941852"/>
    <w:rsid w:val="00954762"/>
    <w:rsid w:val="00977513"/>
    <w:rsid w:val="0099257E"/>
    <w:rsid w:val="009B21A2"/>
    <w:rsid w:val="009B7B06"/>
    <w:rsid w:val="009C2690"/>
    <w:rsid w:val="009D7ABF"/>
    <w:rsid w:val="009F466B"/>
    <w:rsid w:val="00A05F8E"/>
    <w:rsid w:val="00A26AF3"/>
    <w:rsid w:val="00A8313B"/>
    <w:rsid w:val="00A85961"/>
    <w:rsid w:val="00AC1E3B"/>
    <w:rsid w:val="00AD044F"/>
    <w:rsid w:val="00AD1580"/>
    <w:rsid w:val="00AE0415"/>
    <w:rsid w:val="00B12B69"/>
    <w:rsid w:val="00B13BF4"/>
    <w:rsid w:val="00B13CB6"/>
    <w:rsid w:val="00B27BA4"/>
    <w:rsid w:val="00B77FB8"/>
    <w:rsid w:val="00B90160"/>
    <w:rsid w:val="00B91B62"/>
    <w:rsid w:val="00BB2552"/>
    <w:rsid w:val="00BB417B"/>
    <w:rsid w:val="00BD777C"/>
    <w:rsid w:val="00C20662"/>
    <w:rsid w:val="00C35E73"/>
    <w:rsid w:val="00C45C8A"/>
    <w:rsid w:val="00CA1857"/>
    <w:rsid w:val="00CA6BBF"/>
    <w:rsid w:val="00CD2704"/>
    <w:rsid w:val="00CD750F"/>
    <w:rsid w:val="00CE132A"/>
    <w:rsid w:val="00CF0DDD"/>
    <w:rsid w:val="00CF2363"/>
    <w:rsid w:val="00D004FD"/>
    <w:rsid w:val="00D31ED4"/>
    <w:rsid w:val="00D3314D"/>
    <w:rsid w:val="00D534F2"/>
    <w:rsid w:val="00D57237"/>
    <w:rsid w:val="00D6204D"/>
    <w:rsid w:val="00D7674C"/>
    <w:rsid w:val="00D97B11"/>
    <w:rsid w:val="00DB7506"/>
    <w:rsid w:val="00DD19EC"/>
    <w:rsid w:val="00DD2495"/>
    <w:rsid w:val="00DE0888"/>
    <w:rsid w:val="00DF1B70"/>
    <w:rsid w:val="00DF223F"/>
    <w:rsid w:val="00E27678"/>
    <w:rsid w:val="00E45C40"/>
    <w:rsid w:val="00E6187B"/>
    <w:rsid w:val="00E66BF9"/>
    <w:rsid w:val="00E76D68"/>
    <w:rsid w:val="00E95970"/>
    <w:rsid w:val="00E97F28"/>
    <w:rsid w:val="00EB0FD5"/>
    <w:rsid w:val="00EC7210"/>
    <w:rsid w:val="00ED6A76"/>
    <w:rsid w:val="00EE64D1"/>
    <w:rsid w:val="00F3271D"/>
    <w:rsid w:val="00F35797"/>
    <w:rsid w:val="00F41EF5"/>
    <w:rsid w:val="00F44578"/>
    <w:rsid w:val="00F45515"/>
    <w:rsid w:val="00F747CE"/>
    <w:rsid w:val="00FA39E9"/>
    <w:rsid w:val="00FB40D7"/>
    <w:rsid w:val="00FC3D3E"/>
    <w:rsid w:val="00FC6C56"/>
    <w:rsid w:val="00FE22CD"/>
    <w:rsid w:val="539D2F83"/>
    <w:rsid w:val="5BA45B58"/>
    <w:rsid w:val="5C34584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337C"/>
    <w:pPr>
      <w:widowControl w:val="0"/>
      <w:ind w:firstLineChars="200" w:firstLine="200"/>
      <w:jc w:val="both"/>
    </w:pPr>
    <w:rPr>
      <w:rFonts w:eastAsia="华文仿宋"/>
      <w:kern w:val="2"/>
      <w:sz w:val="3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03337C"/>
    <w:pPr>
      <w:tabs>
        <w:tab w:val="center" w:pos="4153"/>
        <w:tab w:val="right" w:pos="8306"/>
      </w:tabs>
      <w:snapToGrid w:val="0"/>
      <w:spacing w:line="240" w:lineRule="atLeast"/>
      <w:jc w:val="left"/>
    </w:pPr>
    <w:rPr>
      <w:sz w:val="18"/>
      <w:szCs w:val="18"/>
    </w:rPr>
  </w:style>
  <w:style w:type="paragraph" w:styleId="a4">
    <w:name w:val="header"/>
    <w:basedOn w:val="a"/>
    <w:link w:val="Char0"/>
    <w:uiPriority w:val="99"/>
    <w:unhideWhenUsed/>
    <w:rsid w:val="0003337C"/>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0">
    <w:name w:val="页眉 Char"/>
    <w:basedOn w:val="a0"/>
    <w:link w:val="a4"/>
    <w:uiPriority w:val="99"/>
    <w:semiHidden/>
    <w:rsid w:val="0003337C"/>
    <w:rPr>
      <w:sz w:val="18"/>
      <w:szCs w:val="18"/>
    </w:rPr>
  </w:style>
  <w:style w:type="character" w:customStyle="1" w:styleId="Char">
    <w:name w:val="页脚 Char"/>
    <w:basedOn w:val="a0"/>
    <w:link w:val="a3"/>
    <w:uiPriority w:val="99"/>
    <w:rsid w:val="0003337C"/>
    <w:rPr>
      <w:sz w:val="18"/>
      <w:szCs w:val="18"/>
    </w:rPr>
  </w:style>
  <w:style w:type="paragraph" w:customStyle="1" w:styleId="1">
    <w:name w:val="列出段落1"/>
    <w:basedOn w:val="a"/>
    <w:uiPriority w:val="34"/>
    <w:qFormat/>
    <w:rsid w:val="0003337C"/>
    <w:pPr>
      <w:ind w:firstLine="420"/>
    </w:pPr>
  </w:style>
  <w:style w:type="paragraph" w:styleId="a5">
    <w:name w:val="Balloon Text"/>
    <w:basedOn w:val="a"/>
    <w:link w:val="Char1"/>
    <w:uiPriority w:val="99"/>
    <w:semiHidden/>
    <w:unhideWhenUsed/>
    <w:rsid w:val="00B90160"/>
    <w:rPr>
      <w:sz w:val="18"/>
      <w:szCs w:val="18"/>
    </w:rPr>
  </w:style>
  <w:style w:type="character" w:customStyle="1" w:styleId="Char1">
    <w:name w:val="批注框文本 Char"/>
    <w:basedOn w:val="a0"/>
    <w:link w:val="a5"/>
    <w:uiPriority w:val="99"/>
    <w:semiHidden/>
    <w:rsid w:val="00B90160"/>
    <w:rPr>
      <w:rFonts w:eastAsia="华文仿宋"/>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338</Words>
  <Characters>1927</Characters>
  <Application>Microsoft Office Word</Application>
  <DocSecurity>0</DocSecurity>
  <Lines>16</Lines>
  <Paragraphs>4</Paragraphs>
  <ScaleCrop>false</ScaleCrop>
  <Company>Microsoft</Company>
  <LinksUpToDate>false</LinksUpToDate>
  <CharactersWithSpaces>2261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贺振华</dc:creator>
  <cp:lastModifiedBy>曾文斌</cp:lastModifiedBy>
  <cp:revision>4</cp:revision>
  <cp:lastPrinted>2019-03-15T07:52:00Z</cp:lastPrinted>
  <dcterms:created xsi:type="dcterms:W3CDTF">2019-03-20T10:15:00Z</dcterms:created>
  <dcterms:modified xsi:type="dcterms:W3CDTF">2019-03-20T10:49:00Z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