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B5" w:rsidRDefault="006012B5" w:rsidP="006012B5">
      <w:pPr>
        <w:widowControl/>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附件3</w:t>
      </w:r>
    </w:p>
    <w:p w:rsidR="006012B5" w:rsidRDefault="006012B5" w:rsidP="006012B5">
      <w:pPr>
        <w:spacing w:line="560" w:lineRule="exact"/>
        <w:ind w:firstLineChars="200" w:firstLine="832"/>
        <w:jc w:val="center"/>
        <w:rPr>
          <w:rFonts w:eastAsia="方正小标宋简体"/>
          <w:spacing w:val="-12"/>
          <w:sz w:val="44"/>
          <w:szCs w:val="44"/>
        </w:rPr>
      </w:pPr>
      <w:r>
        <w:rPr>
          <w:rFonts w:eastAsia="方正小标宋简体" w:hint="eastAsia"/>
          <w:spacing w:val="-12"/>
          <w:sz w:val="44"/>
          <w:szCs w:val="44"/>
        </w:rPr>
        <w:t>部分不合格项目小知识</w:t>
      </w:r>
    </w:p>
    <w:p w:rsidR="006012B5" w:rsidRDefault="006012B5" w:rsidP="006012B5">
      <w:pPr>
        <w:spacing w:line="560" w:lineRule="exact"/>
        <w:ind w:firstLineChars="200" w:firstLine="640"/>
        <w:rPr>
          <w:rFonts w:ascii="仿宋_GB2312" w:eastAsia="仿宋_GB2312" w:hAnsi="宋体" w:cs="仿宋_GB2312"/>
          <w:sz w:val="32"/>
          <w:szCs w:val="32"/>
        </w:rPr>
      </w:pPr>
    </w:p>
    <w:p w:rsidR="006012B5" w:rsidRDefault="006012B5" w:rsidP="006012B5">
      <w:pPr>
        <w:numPr>
          <w:ilvl w:val="0"/>
          <w:numId w:val="1"/>
        </w:numPr>
        <w:spacing w:line="560" w:lineRule="exact"/>
        <w:rPr>
          <w:rFonts w:ascii="黑体" w:eastAsia="黑体" w:hAnsi="黑体" w:cs="仿宋_GB2312"/>
          <w:b/>
          <w:sz w:val="32"/>
          <w:szCs w:val="32"/>
        </w:rPr>
      </w:pPr>
      <w:r>
        <w:rPr>
          <w:rFonts w:ascii="黑体" w:eastAsia="黑体" w:hAnsi="黑体" w:cs="仿宋_GB2312" w:hint="eastAsia"/>
          <w:b/>
          <w:sz w:val="32"/>
          <w:szCs w:val="32"/>
        </w:rPr>
        <w:t>不合格项目小知识</w:t>
      </w:r>
    </w:p>
    <w:p w:rsidR="00702463" w:rsidRPr="00702463" w:rsidRDefault="006012B5" w:rsidP="00702463">
      <w:pPr>
        <w:numPr>
          <w:ilvl w:val="0"/>
          <w:numId w:val="2"/>
        </w:numPr>
        <w:spacing w:line="560" w:lineRule="exact"/>
        <w:rPr>
          <w:rFonts w:ascii="楷体" w:eastAsia="楷体" w:hAnsi="楷体" w:cs="仿宋_GB2312"/>
          <w:b/>
          <w:sz w:val="32"/>
          <w:szCs w:val="32"/>
        </w:rPr>
      </w:pPr>
      <w:r>
        <w:rPr>
          <w:rFonts w:ascii="楷体" w:eastAsia="楷体" w:hAnsi="楷体" w:cs="仿宋_GB2312" w:hint="eastAsia"/>
          <w:b/>
          <w:sz w:val="32"/>
          <w:szCs w:val="32"/>
        </w:rPr>
        <w:t>苯甲酸及其钠盐</w:t>
      </w:r>
    </w:p>
    <w:p w:rsidR="006012B5" w:rsidRDefault="006012B5" w:rsidP="006012B5">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苯甲酸及其钠盐是食品工业中常见的一种防腐保鲜剂，对霉菌、酵母和细菌有较好的抑制作用。《食品安全国家标准 </w:t>
      </w:r>
      <w:r w:rsidRPr="00702463">
        <w:rPr>
          <w:rFonts w:ascii="仿宋" w:eastAsia="仿宋" w:hAnsi="仿宋" w:hint="eastAsia"/>
          <w:sz w:val="32"/>
          <w:szCs w:val="32"/>
        </w:rPr>
        <w:t>食</w:t>
      </w:r>
      <w:r>
        <w:rPr>
          <w:rFonts w:ascii="仿宋" w:eastAsia="仿宋" w:hAnsi="仿宋" w:hint="eastAsia"/>
          <w:sz w:val="32"/>
          <w:szCs w:val="32"/>
        </w:rPr>
        <w:t>品添加剂使用标准》（GB 2760-2014）中规定，</w:t>
      </w:r>
      <w:r w:rsidR="00702463">
        <w:rPr>
          <w:rFonts w:ascii="仿宋" w:eastAsia="仿宋" w:hAnsi="仿宋" w:hint="eastAsia"/>
          <w:sz w:val="32"/>
          <w:szCs w:val="32"/>
        </w:rPr>
        <w:t>蔬菜罐头</w:t>
      </w:r>
      <w:r>
        <w:rPr>
          <w:rFonts w:ascii="仿宋" w:eastAsia="仿宋" w:hAnsi="仿宋" w:hint="eastAsia"/>
          <w:sz w:val="32"/>
          <w:szCs w:val="32"/>
        </w:rPr>
        <w:t>中不得使用苯甲酸及其钠盐（以苯甲酸计）。苯甲酸及其钠盐的安全性较高，少量苯甲酸对人体无毒害，可随尿液排出体外，在人体内不会蓄积，但人体若长期过量食入苯甲酸超标的食品可能会对</w:t>
      </w:r>
      <w:r w:rsidR="00702463">
        <w:rPr>
          <w:rFonts w:ascii="仿宋" w:eastAsia="仿宋" w:hAnsi="仿宋" w:hint="eastAsia"/>
          <w:sz w:val="32"/>
          <w:szCs w:val="32"/>
        </w:rPr>
        <w:t>健康造成</w:t>
      </w:r>
      <w:r>
        <w:rPr>
          <w:rFonts w:ascii="仿宋" w:eastAsia="仿宋" w:hAnsi="仿宋" w:hint="eastAsia"/>
          <w:sz w:val="32"/>
          <w:szCs w:val="32"/>
        </w:rPr>
        <w:t>一定影响。</w:t>
      </w:r>
    </w:p>
    <w:p w:rsidR="00702463" w:rsidRPr="00702463" w:rsidRDefault="00702463" w:rsidP="00702463">
      <w:pPr>
        <w:numPr>
          <w:ilvl w:val="0"/>
          <w:numId w:val="2"/>
        </w:numPr>
        <w:spacing w:line="560" w:lineRule="exact"/>
        <w:rPr>
          <w:rFonts w:ascii="楷体" w:eastAsia="楷体" w:hAnsi="楷体" w:cs="仿宋_GB2312"/>
          <w:b/>
          <w:sz w:val="32"/>
          <w:szCs w:val="32"/>
        </w:rPr>
      </w:pPr>
      <w:r>
        <w:rPr>
          <w:rFonts w:ascii="楷体" w:eastAsia="楷体" w:hAnsi="楷体" w:cs="仿宋_GB2312" w:hint="eastAsia"/>
          <w:b/>
          <w:sz w:val="32"/>
          <w:szCs w:val="32"/>
        </w:rPr>
        <w:t>山梨</w:t>
      </w:r>
      <w:proofErr w:type="gramStart"/>
      <w:r>
        <w:rPr>
          <w:rFonts w:ascii="楷体" w:eastAsia="楷体" w:hAnsi="楷体" w:cs="仿宋_GB2312" w:hint="eastAsia"/>
          <w:b/>
          <w:sz w:val="32"/>
          <w:szCs w:val="32"/>
        </w:rPr>
        <w:t>酸及其</w:t>
      </w:r>
      <w:proofErr w:type="gramEnd"/>
      <w:r>
        <w:rPr>
          <w:rFonts w:ascii="楷体" w:eastAsia="楷体" w:hAnsi="楷体" w:cs="仿宋_GB2312" w:hint="eastAsia"/>
          <w:b/>
          <w:sz w:val="32"/>
          <w:szCs w:val="32"/>
        </w:rPr>
        <w:t>钾盐</w:t>
      </w:r>
    </w:p>
    <w:p w:rsidR="00702463" w:rsidRPr="00702463" w:rsidRDefault="00702463" w:rsidP="00702463">
      <w:pPr>
        <w:spacing w:line="560" w:lineRule="exact"/>
        <w:ind w:firstLineChars="200" w:firstLine="640"/>
        <w:rPr>
          <w:rFonts w:ascii="仿宋" w:eastAsia="仿宋" w:hAnsi="仿宋"/>
          <w:sz w:val="32"/>
          <w:szCs w:val="32"/>
        </w:rPr>
      </w:pPr>
      <w:r w:rsidRPr="00702463">
        <w:rPr>
          <w:rFonts w:ascii="仿宋" w:eastAsia="仿宋" w:hAnsi="仿宋"/>
          <w:sz w:val="32"/>
          <w:szCs w:val="32"/>
        </w:rPr>
        <w:t>山梨</w:t>
      </w:r>
      <w:proofErr w:type="gramStart"/>
      <w:r w:rsidRPr="00702463">
        <w:rPr>
          <w:rFonts w:ascii="仿宋" w:eastAsia="仿宋" w:hAnsi="仿宋"/>
          <w:sz w:val="32"/>
          <w:szCs w:val="32"/>
        </w:rPr>
        <w:t>酸及</w:t>
      </w:r>
      <w:r w:rsidR="00591491" w:rsidRPr="00591491">
        <w:rPr>
          <w:rFonts w:ascii="仿宋" w:eastAsia="仿宋" w:hAnsi="仿宋" w:hint="eastAsia"/>
          <w:color w:val="FF0000"/>
          <w:sz w:val="32"/>
          <w:szCs w:val="32"/>
        </w:rPr>
        <w:t>其</w:t>
      </w:r>
      <w:proofErr w:type="gramEnd"/>
      <w:r>
        <w:rPr>
          <w:rFonts w:ascii="仿宋" w:eastAsia="仿宋" w:hAnsi="仿宋" w:hint="eastAsia"/>
          <w:sz w:val="32"/>
          <w:szCs w:val="32"/>
        </w:rPr>
        <w:t>钾盐</w:t>
      </w:r>
      <w:r w:rsidRPr="00702463">
        <w:rPr>
          <w:rFonts w:ascii="仿宋" w:eastAsia="仿宋" w:hAnsi="仿宋"/>
          <w:sz w:val="32"/>
          <w:szCs w:val="32"/>
        </w:rPr>
        <w:t>是食品防腐保鲜剂，具有广泛的抑菌效果和防霉性能。《食品安全国家标准</w:t>
      </w:r>
      <w:r w:rsidRPr="00702463">
        <w:rPr>
          <w:rFonts w:ascii="Calibri" w:eastAsia="仿宋" w:hAnsi="Calibri" w:cs="Calibri"/>
          <w:sz w:val="32"/>
          <w:szCs w:val="32"/>
        </w:rPr>
        <w:t> </w:t>
      </w:r>
      <w:r w:rsidRPr="00702463">
        <w:rPr>
          <w:rFonts w:ascii="仿宋" w:eastAsia="仿宋" w:hAnsi="仿宋"/>
          <w:sz w:val="32"/>
          <w:szCs w:val="32"/>
        </w:rPr>
        <w:t>食品添加剂使用标准》（GB</w:t>
      </w:r>
      <w:r w:rsidRPr="00702463">
        <w:rPr>
          <w:rFonts w:ascii="Calibri" w:eastAsia="仿宋" w:hAnsi="Calibri" w:cs="Calibri"/>
          <w:sz w:val="32"/>
          <w:szCs w:val="32"/>
        </w:rPr>
        <w:t> </w:t>
      </w:r>
      <w:r w:rsidRPr="00702463">
        <w:rPr>
          <w:rFonts w:ascii="仿宋" w:eastAsia="仿宋" w:hAnsi="仿宋"/>
          <w:sz w:val="32"/>
          <w:szCs w:val="32"/>
        </w:rPr>
        <w:t>2760</w:t>
      </w:r>
      <w:r w:rsidRPr="00702463">
        <w:rPr>
          <w:rFonts w:ascii="仿宋" w:eastAsia="仿宋" w:hAnsi="仿宋" w:cs="仿宋" w:hint="eastAsia"/>
          <w:sz w:val="32"/>
          <w:szCs w:val="32"/>
        </w:rPr>
        <w:t>—</w:t>
      </w:r>
      <w:r w:rsidRPr="00702463">
        <w:rPr>
          <w:rFonts w:ascii="仿宋" w:eastAsia="仿宋" w:hAnsi="仿宋"/>
          <w:sz w:val="32"/>
          <w:szCs w:val="32"/>
        </w:rPr>
        <w:t>2014）中规定，</w:t>
      </w:r>
      <w:r>
        <w:rPr>
          <w:rFonts w:ascii="仿宋" w:eastAsia="仿宋" w:hAnsi="仿宋" w:hint="eastAsia"/>
          <w:sz w:val="32"/>
          <w:szCs w:val="32"/>
        </w:rPr>
        <w:t>蔬菜罐头中不得使用</w:t>
      </w:r>
      <w:r w:rsidRPr="00702463">
        <w:rPr>
          <w:rFonts w:ascii="仿宋" w:eastAsia="仿宋" w:hAnsi="仿宋"/>
          <w:sz w:val="32"/>
          <w:szCs w:val="32"/>
        </w:rPr>
        <w:t>山梨</w:t>
      </w:r>
      <w:proofErr w:type="gramStart"/>
      <w:r w:rsidRPr="00702463">
        <w:rPr>
          <w:rFonts w:ascii="仿宋" w:eastAsia="仿宋" w:hAnsi="仿宋"/>
          <w:sz w:val="32"/>
          <w:szCs w:val="32"/>
        </w:rPr>
        <w:t>酸及</w:t>
      </w:r>
      <w:r w:rsidR="00591491" w:rsidRPr="00591491">
        <w:rPr>
          <w:rFonts w:ascii="仿宋" w:eastAsia="仿宋" w:hAnsi="仿宋" w:hint="eastAsia"/>
          <w:color w:val="FF0000"/>
          <w:sz w:val="32"/>
          <w:szCs w:val="32"/>
        </w:rPr>
        <w:t>其</w:t>
      </w:r>
      <w:proofErr w:type="gramEnd"/>
      <w:r>
        <w:rPr>
          <w:rFonts w:ascii="仿宋" w:eastAsia="仿宋" w:hAnsi="仿宋" w:hint="eastAsia"/>
          <w:sz w:val="32"/>
          <w:szCs w:val="32"/>
        </w:rPr>
        <w:t>钾盐。</w:t>
      </w:r>
      <w:r w:rsidRPr="00702463">
        <w:rPr>
          <w:rFonts w:ascii="仿宋" w:eastAsia="仿宋" w:hAnsi="仿宋"/>
          <w:sz w:val="32"/>
          <w:szCs w:val="32"/>
        </w:rPr>
        <w:t xml:space="preserve">山梨酸可以被人体的代谢系统吸收而迅速分解为二氧化碳和水，在体内无残留。但如果长期食用山梨酸超标的食品，可能会对人体的骨骼生长、肾脏、肝脏健康造成一定影响。 </w:t>
      </w:r>
    </w:p>
    <w:p w:rsidR="00702463" w:rsidRPr="00702463" w:rsidRDefault="00702463" w:rsidP="00702463">
      <w:pPr>
        <w:numPr>
          <w:ilvl w:val="0"/>
          <w:numId w:val="2"/>
        </w:numPr>
        <w:spacing w:line="560" w:lineRule="exact"/>
        <w:rPr>
          <w:rFonts w:ascii="楷体" w:eastAsia="楷体" w:hAnsi="楷体" w:cs="仿宋_GB2312"/>
          <w:b/>
          <w:sz w:val="32"/>
          <w:szCs w:val="32"/>
        </w:rPr>
      </w:pPr>
      <w:r>
        <w:rPr>
          <w:rFonts w:ascii="楷体" w:eastAsia="楷体" w:hAnsi="楷体" w:cs="仿宋_GB2312" w:hint="eastAsia"/>
          <w:b/>
          <w:sz w:val="32"/>
          <w:szCs w:val="32"/>
        </w:rPr>
        <w:t>二氧化硫残留量</w:t>
      </w:r>
    </w:p>
    <w:p w:rsidR="00702463" w:rsidRPr="00702463" w:rsidRDefault="00702463" w:rsidP="006012B5">
      <w:pPr>
        <w:spacing w:line="560" w:lineRule="exact"/>
        <w:ind w:firstLineChars="200" w:firstLine="640"/>
        <w:rPr>
          <w:rFonts w:ascii="仿宋" w:eastAsia="仿宋" w:hAnsi="仿宋"/>
          <w:sz w:val="32"/>
          <w:szCs w:val="32"/>
        </w:rPr>
      </w:pPr>
      <w:r w:rsidRPr="00702463">
        <w:rPr>
          <w:rFonts w:ascii="仿宋" w:eastAsia="仿宋" w:hAnsi="仿宋" w:hint="eastAsia"/>
          <w:sz w:val="32"/>
          <w:szCs w:val="32"/>
        </w:rPr>
        <w:t>二氧化硫、焦亚硫酸钾、亚硫酸钠是食品加工中常用的漂白剂和防腐剂，使用后会产生二氧化硫残留。《食品安全国家标准 食品添加剂使用标准》（GB 2760—2014）中规定，</w:t>
      </w:r>
      <w:r w:rsidR="00F129E5" w:rsidRPr="00F129E5">
        <w:rPr>
          <w:rFonts w:ascii="仿宋" w:eastAsia="仿宋" w:hAnsi="仿宋" w:hint="eastAsia"/>
          <w:sz w:val="32"/>
          <w:szCs w:val="32"/>
        </w:rPr>
        <w:lastRenderedPageBreak/>
        <w:t>酱腌菜</w:t>
      </w:r>
      <w:r w:rsidRPr="00702463">
        <w:rPr>
          <w:rFonts w:ascii="仿宋" w:eastAsia="仿宋" w:hAnsi="仿宋" w:hint="eastAsia"/>
          <w:sz w:val="32"/>
          <w:szCs w:val="32"/>
        </w:rPr>
        <w:t>中</w:t>
      </w:r>
      <w:r w:rsidR="00F129E5">
        <w:rPr>
          <w:rFonts w:ascii="仿宋" w:eastAsia="仿宋" w:hAnsi="仿宋" w:hint="eastAsia"/>
          <w:sz w:val="32"/>
          <w:szCs w:val="32"/>
        </w:rPr>
        <w:t>二氧化硫</w:t>
      </w:r>
      <w:r w:rsidR="00F129E5" w:rsidRPr="00702463">
        <w:rPr>
          <w:rFonts w:ascii="仿宋" w:eastAsia="仿宋" w:hAnsi="仿宋" w:hint="eastAsia"/>
          <w:sz w:val="32"/>
          <w:szCs w:val="32"/>
        </w:rPr>
        <w:t>等物质</w:t>
      </w:r>
      <w:r w:rsidR="00F129E5">
        <w:rPr>
          <w:rFonts w:ascii="仿宋" w:eastAsia="仿宋" w:hAnsi="仿宋" w:hint="eastAsia"/>
          <w:sz w:val="32"/>
          <w:szCs w:val="32"/>
        </w:rPr>
        <w:t>最大使用量为0</w:t>
      </w:r>
      <w:r w:rsidR="00F129E5">
        <w:rPr>
          <w:rFonts w:ascii="仿宋" w:eastAsia="仿宋" w:hAnsi="仿宋"/>
          <w:sz w:val="32"/>
          <w:szCs w:val="32"/>
        </w:rPr>
        <w:t>.1g/kg</w:t>
      </w:r>
      <w:r w:rsidR="00F129E5">
        <w:rPr>
          <w:rFonts w:ascii="仿宋" w:eastAsia="仿宋" w:hAnsi="仿宋" w:hint="eastAsia"/>
          <w:sz w:val="32"/>
          <w:szCs w:val="32"/>
        </w:rPr>
        <w:t>，</w:t>
      </w:r>
      <w:r w:rsidR="00F129E5" w:rsidRPr="00F129E5">
        <w:rPr>
          <w:rFonts w:ascii="仿宋" w:eastAsia="仿宋" w:hAnsi="仿宋" w:hint="eastAsia"/>
          <w:sz w:val="32"/>
          <w:szCs w:val="32"/>
        </w:rPr>
        <w:t>蜜饯</w:t>
      </w:r>
      <w:r w:rsidR="00F129E5" w:rsidRPr="00702463">
        <w:rPr>
          <w:rFonts w:ascii="仿宋" w:eastAsia="仿宋" w:hAnsi="仿宋" w:hint="eastAsia"/>
          <w:sz w:val="32"/>
          <w:szCs w:val="32"/>
        </w:rPr>
        <w:t>中</w:t>
      </w:r>
      <w:r w:rsidR="00F129E5">
        <w:rPr>
          <w:rFonts w:ascii="仿宋" w:eastAsia="仿宋" w:hAnsi="仿宋" w:hint="eastAsia"/>
          <w:sz w:val="32"/>
          <w:szCs w:val="32"/>
        </w:rPr>
        <w:t>二氧化硫</w:t>
      </w:r>
      <w:r w:rsidR="00F129E5" w:rsidRPr="00702463">
        <w:rPr>
          <w:rFonts w:ascii="仿宋" w:eastAsia="仿宋" w:hAnsi="仿宋" w:hint="eastAsia"/>
          <w:sz w:val="32"/>
          <w:szCs w:val="32"/>
        </w:rPr>
        <w:t>等物质</w:t>
      </w:r>
      <w:r w:rsidR="00F129E5">
        <w:rPr>
          <w:rFonts w:ascii="仿宋" w:eastAsia="仿宋" w:hAnsi="仿宋" w:hint="eastAsia"/>
          <w:sz w:val="32"/>
          <w:szCs w:val="32"/>
        </w:rPr>
        <w:t>最大使用量为</w:t>
      </w:r>
      <w:r w:rsidR="00F129E5">
        <w:rPr>
          <w:rFonts w:ascii="仿宋" w:eastAsia="仿宋" w:hAnsi="仿宋"/>
          <w:sz w:val="32"/>
          <w:szCs w:val="32"/>
        </w:rPr>
        <w:t>0.35g/kg</w:t>
      </w:r>
      <w:r w:rsidR="00F129E5">
        <w:rPr>
          <w:rFonts w:ascii="仿宋" w:eastAsia="仿宋" w:hAnsi="仿宋" w:hint="eastAsia"/>
          <w:sz w:val="32"/>
          <w:szCs w:val="32"/>
        </w:rPr>
        <w:t>，</w:t>
      </w:r>
      <w:r w:rsidR="00F129E5" w:rsidRPr="00F129E5">
        <w:rPr>
          <w:rFonts w:ascii="仿宋" w:eastAsia="仿宋" w:hAnsi="仿宋" w:hint="eastAsia"/>
          <w:sz w:val="32"/>
          <w:szCs w:val="32"/>
        </w:rPr>
        <w:t>炒货食品及坚果制品</w:t>
      </w:r>
      <w:r w:rsidRPr="00702463">
        <w:rPr>
          <w:rFonts w:ascii="仿宋" w:eastAsia="仿宋" w:hAnsi="仿宋" w:hint="eastAsia"/>
          <w:sz w:val="32"/>
          <w:szCs w:val="32"/>
        </w:rPr>
        <w:t>不得使用二氧化硫等物质。二氧化硫进入人体后最终转化为硫酸盐并随尿液排出体外，少量摄入不会对身体带来健康危害，但若过量食用可能引起如恶心、呕吐等胃肠道反应。</w:t>
      </w:r>
    </w:p>
    <w:p w:rsidR="00F129E5" w:rsidRPr="00702463" w:rsidRDefault="00F129E5" w:rsidP="00F129E5">
      <w:pPr>
        <w:numPr>
          <w:ilvl w:val="0"/>
          <w:numId w:val="2"/>
        </w:numPr>
        <w:spacing w:line="560" w:lineRule="exact"/>
        <w:rPr>
          <w:rFonts w:ascii="楷体" w:eastAsia="楷体" w:hAnsi="楷体" w:cs="仿宋_GB2312"/>
          <w:b/>
          <w:sz w:val="32"/>
          <w:szCs w:val="32"/>
        </w:rPr>
      </w:pPr>
      <w:bookmarkStart w:id="0" w:name="_Hlk6928140"/>
      <w:r>
        <w:rPr>
          <w:rFonts w:ascii="楷体" w:eastAsia="楷体" w:hAnsi="楷体" w:cs="仿宋_GB2312" w:hint="eastAsia"/>
          <w:b/>
          <w:sz w:val="32"/>
          <w:szCs w:val="32"/>
        </w:rPr>
        <w:t>甜蜜素</w:t>
      </w:r>
    </w:p>
    <w:bookmarkEnd w:id="0"/>
    <w:p w:rsidR="00702463" w:rsidRDefault="00F129E5" w:rsidP="006012B5">
      <w:pPr>
        <w:spacing w:line="560" w:lineRule="exact"/>
        <w:ind w:firstLineChars="200" w:firstLine="640"/>
        <w:rPr>
          <w:rFonts w:ascii="仿宋" w:eastAsia="仿宋" w:hAnsi="仿宋"/>
          <w:sz w:val="32"/>
          <w:szCs w:val="32"/>
        </w:rPr>
      </w:pPr>
      <w:r w:rsidRPr="00A61132">
        <w:rPr>
          <w:rFonts w:ascii="仿宋" w:eastAsia="仿宋" w:hAnsi="仿宋"/>
          <w:sz w:val="32"/>
          <w:szCs w:val="32"/>
        </w:rPr>
        <w:t>甜蜜素化学名称为</w:t>
      </w:r>
      <w:proofErr w:type="gramStart"/>
      <w:r w:rsidRPr="00A61132">
        <w:rPr>
          <w:rFonts w:ascii="仿宋" w:eastAsia="仿宋" w:hAnsi="仿宋"/>
          <w:sz w:val="32"/>
          <w:szCs w:val="32"/>
        </w:rPr>
        <w:t>环己基</w:t>
      </w:r>
      <w:proofErr w:type="gramEnd"/>
      <w:r w:rsidR="00F67074" w:rsidRPr="00A61132">
        <w:rPr>
          <w:rFonts w:ascii="仿宋" w:eastAsia="仿宋" w:hAnsi="仿宋"/>
          <w:sz w:val="32"/>
          <w:szCs w:val="32"/>
        </w:rPr>
        <w:fldChar w:fldCharType="begin"/>
      </w:r>
      <w:r w:rsidRPr="00A61132">
        <w:rPr>
          <w:rFonts w:ascii="仿宋" w:eastAsia="仿宋" w:hAnsi="仿宋"/>
          <w:sz w:val="32"/>
          <w:szCs w:val="32"/>
        </w:rPr>
        <w:instrText>HYPERLINK "http://baike.sogou.com/lemma/ShowInnerLink.htm?lemmaId=5618812"</w:instrText>
      </w:r>
      <w:r w:rsidR="00F67074" w:rsidRPr="00A61132">
        <w:rPr>
          <w:rFonts w:ascii="仿宋" w:eastAsia="仿宋" w:hAnsi="仿宋"/>
          <w:sz w:val="32"/>
          <w:szCs w:val="32"/>
        </w:rPr>
        <w:fldChar w:fldCharType="separate"/>
      </w:r>
      <w:r w:rsidRPr="00A61132">
        <w:rPr>
          <w:rFonts w:ascii="仿宋" w:eastAsia="仿宋" w:hAnsi="仿宋"/>
          <w:sz w:val="32"/>
          <w:szCs w:val="32"/>
        </w:rPr>
        <w:t>氨基磺酸</w:t>
      </w:r>
      <w:r w:rsidR="00F67074" w:rsidRPr="00A61132">
        <w:rPr>
          <w:rFonts w:ascii="仿宋" w:eastAsia="仿宋" w:hAnsi="仿宋"/>
          <w:sz w:val="32"/>
          <w:szCs w:val="32"/>
        </w:rPr>
        <w:fldChar w:fldCharType="end"/>
      </w:r>
      <w:r w:rsidRPr="00A61132">
        <w:rPr>
          <w:rFonts w:ascii="仿宋" w:eastAsia="仿宋" w:hAnsi="仿宋"/>
          <w:sz w:val="32"/>
          <w:szCs w:val="32"/>
        </w:rPr>
        <w:t>钠，是一种常用</w:t>
      </w:r>
      <w:hyperlink r:id="rId7" w:history="1">
        <w:r w:rsidRPr="00A61132">
          <w:rPr>
            <w:rFonts w:ascii="仿宋" w:eastAsia="仿宋" w:hAnsi="仿宋"/>
            <w:sz w:val="32"/>
            <w:szCs w:val="32"/>
          </w:rPr>
          <w:t>甜味剂</w:t>
        </w:r>
      </w:hyperlink>
      <w:r w:rsidRPr="00A61132">
        <w:rPr>
          <w:rFonts w:ascii="仿宋" w:eastAsia="仿宋" w:hAnsi="仿宋"/>
          <w:sz w:val="32"/>
          <w:szCs w:val="32"/>
        </w:rPr>
        <w:t>，其甜度是蔗糖的30～40倍</w:t>
      </w:r>
      <w:r w:rsidRPr="00A61132">
        <w:rPr>
          <w:rFonts w:ascii="仿宋" w:eastAsia="仿宋" w:hAnsi="仿宋" w:hint="eastAsia"/>
          <w:sz w:val="32"/>
          <w:szCs w:val="32"/>
        </w:rPr>
        <w:t>，</w:t>
      </w:r>
      <w:r w:rsidRPr="00A61132">
        <w:rPr>
          <w:rFonts w:ascii="仿宋" w:eastAsia="仿宋" w:hAnsi="仿宋"/>
          <w:sz w:val="32"/>
          <w:szCs w:val="32"/>
        </w:rPr>
        <w:t>作为非营养型</w:t>
      </w:r>
      <w:hyperlink r:id="rId8" w:history="1">
        <w:r w:rsidRPr="00A61132">
          <w:rPr>
            <w:rFonts w:ascii="仿宋" w:eastAsia="仿宋" w:hAnsi="仿宋"/>
            <w:sz w:val="32"/>
            <w:szCs w:val="32"/>
          </w:rPr>
          <w:t>甜味剂</w:t>
        </w:r>
      </w:hyperlink>
      <w:r w:rsidRPr="00A61132">
        <w:rPr>
          <w:rFonts w:ascii="仿宋" w:eastAsia="仿宋" w:hAnsi="仿宋"/>
          <w:sz w:val="32"/>
          <w:szCs w:val="32"/>
        </w:rPr>
        <w:t>，可广泛用于面包、糕点、饮料、配制酒及蜜饯等各种食品中。《食品安全国家标准 食品添加剂使用标准》（GB 2760—2014）中</w:t>
      </w:r>
      <w:r w:rsidRPr="00A61132">
        <w:rPr>
          <w:rFonts w:ascii="仿宋" w:eastAsia="仿宋" w:hAnsi="仿宋" w:hint="eastAsia"/>
          <w:sz w:val="32"/>
          <w:szCs w:val="32"/>
        </w:rPr>
        <w:t>规定，</w:t>
      </w:r>
      <w:r>
        <w:rPr>
          <w:rFonts w:ascii="仿宋" w:eastAsia="仿宋" w:hAnsi="仿宋" w:hint="eastAsia"/>
          <w:sz w:val="32"/>
          <w:szCs w:val="32"/>
        </w:rPr>
        <w:t>配制酒</w:t>
      </w:r>
      <w:r w:rsidRPr="00A61132">
        <w:rPr>
          <w:rFonts w:ascii="仿宋" w:eastAsia="仿宋" w:hAnsi="仿宋"/>
          <w:sz w:val="32"/>
          <w:szCs w:val="32"/>
        </w:rPr>
        <w:t>中的甜蜜</w:t>
      </w:r>
      <w:proofErr w:type="gramStart"/>
      <w:r w:rsidRPr="00A61132">
        <w:rPr>
          <w:rFonts w:ascii="仿宋" w:eastAsia="仿宋" w:hAnsi="仿宋"/>
          <w:sz w:val="32"/>
          <w:szCs w:val="32"/>
        </w:rPr>
        <w:t>素最大</w:t>
      </w:r>
      <w:proofErr w:type="gramEnd"/>
      <w:r w:rsidRPr="00A61132">
        <w:rPr>
          <w:rFonts w:ascii="仿宋" w:eastAsia="仿宋" w:hAnsi="仿宋"/>
          <w:sz w:val="32"/>
          <w:szCs w:val="32"/>
        </w:rPr>
        <w:t>使用量为</w:t>
      </w:r>
      <w:r>
        <w:rPr>
          <w:rFonts w:ascii="仿宋" w:eastAsia="仿宋" w:hAnsi="仿宋"/>
          <w:sz w:val="32"/>
          <w:szCs w:val="32"/>
        </w:rPr>
        <w:t>0.65</w:t>
      </w:r>
      <w:r w:rsidRPr="00A61132">
        <w:rPr>
          <w:rFonts w:ascii="仿宋" w:eastAsia="仿宋" w:hAnsi="仿宋"/>
          <w:sz w:val="32"/>
          <w:szCs w:val="32"/>
        </w:rPr>
        <w:t xml:space="preserve"> g/kg。消费者如果长期过度食用甜蜜素超标的食品，会对人体造成危害。</w:t>
      </w:r>
    </w:p>
    <w:p w:rsidR="00702463" w:rsidRDefault="00307AD1" w:rsidP="00307AD1">
      <w:pPr>
        <w:numPr>
          <w:ilvl w:val="0"/>
          <w:numId w:val="2"/>
        </w:numPr>
        <w:spacing w:line="560" w:lineRule="exact"/>
        <w:rPr>
          <w:rFonts w:ascii="楷体" w:eastAsia="楷体" w:hAnsi="楷体" w:cs="仿宋_GB2312"/>
          <w:b/>
          <w:sz w:val="32"/>
          <w:szCs w:val="32"/>
        </w:rPr>
      </w:pPr>
      <w:r>
        <w:rPr>
          <w:rFonts w:ascii="楷体" w:eastAsia="楷体" w:hAnsi="楷体" w:cs="仿宋_GB2312" w:hint="eastAsia"/>
          <w:b/>
          <w:sz w:val="32"/>
          <w:szCs w:val="32"/>
        </w:rPr>
        <w:t>霉菌</w:t>
      </w:r>
    </w:p>
    <w:p w:rsidR="00307AD1" w:rsidRPr="006001A7" w:rsidRDefault="00307AD1" w:rsidP="00307AD1">
      <w:pPr>
        <w:pStyle w:val="2"/>
        <w:ind w:firstLine="640"/>
        <w:rPr>
          <w:rFonts w:ascii="仿宋" w:eastAsia="仿宋" w:hAnsi="仿宋"/>
          <w:sz w:val="32"/>
          <w:szCs w:val="32"/>
        </w:rPr>
      </w:pPr>
      <w:r w:rsidRPr="00F23EC9">
        <w:rPr>
          <w:rFonts w:ascii="仿宋" w:eastAsia="仿宋" w:hAnsi="仿宋"/>
          <w:sz w:val="32"/>
          <w:szCs w:val="32"/>
        </w:rPr>
        <w:t>霉菌是自然界中常见的真菌，《</w:t>
      </w:r>
      <w:r w:rsidR="008B2F50" w:rsidRPr="008B2F50">
        <w:rPr>
          <w:rFonts w:ascii="仿宋" w:eastAsia="仿宋" w:hAnsi="仿宋" w:hint="eastAsia"/>
          <w:sz w:val="32"/>
          <w:szCs w:val="32"/>
        </w:rPr>
        <w:t>食品安全国家标准 糕点、面包</w:t>
      </w:r>
      <w:r w:rsidRPr="00F23EC9">
        <w:rPr>
          <w:rFonts w:ascii="仿宋" w:eastAsia="仿宋" w:hAnsi="仿宋"/>
          <w:sz w:val="32"/>
          <w:szCs w:val="32"/>
        </w:rPr>
        <w:t>》（</w:t>
      </w:r>
      <w:r w:rsidR="001E09EA" w:rsidRPr="001E09EA">
        <w:rPr>
          <w:rFonts w:ascii="仿宋" w:eastAsia="仿宋" w:hAnsi="仿宋"/>
          <w:sz w:val="32"/>
          <w:szCs w:val="32"/>
        </w:rPr>
        <w:t>GB</w:t>
      </w:r>
      <w:r w:rsidR="001E09EA">
        <w:rPr>
          <w:rFonts w:ascii="仿宋" w:eastAsia="仿宋" w:hAnsi="仿宋"/>
          <w:sz w:val="32"/>
          <w:szCs w:val="32"/>
        </w:rPr>
        <w:t xml:space="preserve"> </w:t>
      </w:r>
      <w:r w:rsidR="001E09EA" w:rsidRPr="001E09EA">
        <w:rPr>
          <w:rFonts w:ascii="仿宋" w:eastAsia="仿宋" w:hAnsi="仿宋"/>
          <w:sz w:val="32"/>
          <w:szCs w:val="32"/>
        </w:rPr>
        <w:t>7099-2015</w:t>
      </w:r>
      <w:r w:rsidRPr="00F23EC9">
        <w:rPr>
          <w:rFonts w:ascii="仿宋" w:eastAsia="仿宋" w:hAnsi="仿宋"/>
          <w:sz w:val="32"/>
          <w:szCs w:val="32"/>
        </w:rPr>
        <w:t>）</w:t>
      </w:r>
      <w:r w:rsidRPr="00F23EC9">
        <w:rPr>
          <w:rFonts w:ascii="仿宋" w:eastAsia="仿宋" w:hAnsi="仿宋" w:hint="eastAsia"/>
          <w:sz w:val="32"/>
          <w:szCs w:val="32"/>
        </w:rPr>
        <w:t>中</w:t>
      </w:r>
      <w:r w:rsidRPr="00F23EC9">
        <w:rPr>
          <w:rFonts w:ascii="仿宋" w:eastAsia="仿宋" w:hAnsi="仿宋"/>
          <w:sz w:val="32"/>
          <w:szCs w:val="32"/>
        </w:rPr>
        <w:t>规定</w:t>
      </w:r>
      <w:r w:rsidRPr="00F23EC9">
        <w:rPr>
          <w:rFonts w:ascii="仿宋" w:eastAsia="仿宋" w:hAnsi="仿宋" w:hint="eastAsia"/>
          <w:sz w:val="32"/>
          <w:szCs w:val="32"/>
        </w:rPr>
        <w:t>，</w:t>
      </w:r>
      <w:r>
        <w:rPr>
          <w:rFonts w:ascii="仿宋" w:eastAsia="仿宋" w:hAnsi="仿宋" w:hint="eastAsia"/>
          <w:sz w:val="32"/>
          <w:szCs w:val="32"/>
        </w:rPr>
        <w:t>糕点</w:t>
      </w:r>
      <w:r w:rsidRPr="00F23EC9">
        <w:rPr>
          <w:rFonts w:ascii="仿宋" w:eastAsia="仿宋" w:hAnsi="仿宋"/>
          <w:sz w:val="32"/>
          <w:szCs w:val="32"/>
        </w:rPr>
        <w:t>的最大限</w:t>
      </w:r>
      <w:r w:rsidR="008B2F50">
        <w:rPr>
          <w:rFonts w:ascii="仿宋" w:eastAsia="仿宋" w:hAnsi="仿宋" w:hint="eastAsia"/>
          <w:sz w:val="32"/>
          <w:szCs w:val="32"/>
        </w:rPr>
        <w:t>量</w:t>
      </w:r>
      <w:r w:rsidRPr="00F23EC9">
        <w:rPr>
          <w:rFonts w:ascii="仿宋" w:eastAsia="仿宋" w:hAnsi="仿宋"/>
          <w:sz w:val="32"/>
          <w:szCs w:val="32"/>
        </w:rPr>
        <w:t>为</w:t>
      </w:r>
      <w:r w:rsidR="008B2F50">
        <w:rPr>
          <w:rFonts w:ascii="仿宋" w:eastAsia="仿宋" w:hAnsi="仿宋"/>
          <w:sz w:val="32"/>
          <w:szCs w:val="32"/>
        </w:rPr>
        <w:t>150</w:t>
      </w:r>
      <w:r w:rsidRPr="00F23EC9">
        <w:rPr>
          <w:rFonts w:ascii="仿宋" w:eastAsia="仿宋" w:hAnsi="仿宋"/>
          <w:sz w:val="32"/>
          <w:szCs w:val="32"/>
        </w:rPr>
        <w:t xml:space="preserve"> CFU/g。</w:t>
      </w:r>
      <w:r w:rsidRPr="006001A7">
        <w:rPr>
          <w:rFonts w:ascii="仿宋" w:eastAsia="仿宋" w:hAnsi="仿宋" w:hint="eastAsia"/>
          <w:sz w:val="32"/>
          <w:szCs w:val="32"/>
        </w:rPr>
        <w:t>霉菌污染可使食品腐败变质，破坏食品的色、香、味，失去食品的食用价值，并产生真菌毒素危害人类健康。</w:t>
      </w:r>
    </w:p>
    <w:p w:rsidR="008B2F50" w:rsidRDefault="008B2F50" w:rsidP="008B2F50">
      <w:pPr>
        <w:numPr>
          <w:ilvl w:val="0"/>
          <w:numId w:val="2"/>
        </w:numPr>
        <w:spacing w:line="560" w:lineRule="exact"/>
        <w:rPr>
          <w:rFonts w:ascii="楷体" w:eastAsia="楷体" w:hAnsi="楷体" w:cs="仿宋_GB2312"/>
          <w:b/>
          <w:sz w:val="32"/>
          <w:szCs w:val="32"/>
        </w:rPr>
      </w:pPr>
      <w:r>
        <w:rPr>
          <w:rFonts w:ascii="楷体" w:eastAsia="楷体" w:hAnsi="楷体" w:cs="仿宋_GB2312" w:hint="eastAsia"/>
          <w:b/>
          <w:sz w:val="32"/>
          <w:szCs w:val="32"/>
        </w:rPr>
        <w:t>菌落总数</w:t>
      </w:r>
    </w:p>
    <w:p w:rsidR="00450D0A" w:rsidRPr="00450D0A" w:rsidRDefault="00450D0A" w:rsidP="00450D0A">
      <w:pPr>
        <w:pStyle w:val="2"/>
        <w:ind w:firstLine="640"/>
        <w:rPr>
          <w:rFonts w:ascii="仿宋" w:eastAsia="仿宋" w:hAnsi="仿宋"/>
          <w:sz w:val="32"/>
          <w:szCs w:val="32"/>
        </w:rPr>
      </w:pPr>
      <w:r w:rsidRPr="00450D0A">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w:t>
      </w:r>
      <w:r w:rsidR="00EE798A" w:rsidRPr="006001A7">
        <w:rPr>
          <w:rFonts w:ascii="仿宋" w:eastAsia="仿宋" w:hAnsi="仿宋" w:hint="eastAsia"/>
          <w:sz w:val="32"/>
          <w:szCs w:val="32"/>
        </w:rPr>
        <w:t>《食品安全国家标准</w:t>
      </w:r>
      <w:r w:rsidR="00393575">
        <w:rPr>
          <w:rFonts w:ascii="仿宋" w:eastAsia="仿宋" w:hAnsi="仿宋" w:hint="eastAsia"/>
          <w:sz w:val="32"/>
          <w:szCs w:val="32"/>
        </w:rPr>
        <w:t xml:space="preserve"> </w:t>
      </w:r>
      <w:r w:rsidR="00EE798A" w:rsidRPr="006001A7">
        <w:rPr>
          <w:rFonts w:ascii="仿宋" w:eastAsia="仿宋" w:hAnsi="仿宋" w:hint="eastAsia"/>
          <w:sz w:val="32"/>
          <w:szCs w:val="32"/>
        </w:rPr>
        <w:t>方便面》（</w:t>
      </w:r>
      <w:r w:rsidR="00EE798A" w:rsidRPr="006001A7">
        <w:rPr>
          <w:rFonts w:ascii="仿宋" w:eastAsia="仿宋" w:hAnsi="仿宋"/>
          <w:sz w:val="32"/>
          <w:szCs w:val="32"/>
        </w:rPr>
        <w:t>GB 17400</w:t>
      </w:r>
      <w:r w:rsidR="00EE798A">
        <w:rPr>
          <w:rFonts w:ascii="仿宋" w:eastAsia="仿宋" w:hAnsi="仿宋"/>
          <w:sz w:val="32"/>
          <w:szCs w:val="32"/>
        </w:rPr>
        <w:t>-</w:t>
      </w:r>
      <w:r w:rsidR="00EE798A" w:rsidRPr="006001A7">
        <w:rPr>
          <w:rFonts w:ascii="仿宋" w:eastAsia="仿宋" w:hAnsi="仿宋"/>
          <w:sz w:val="32"/>
          <w:szCs w:val="32"/>
        </w:rPr>
        <w:t>2015</w:t>
      </w:r>
      <w:r w:rsidR="00EE798A" w:rsidRPr="006001A7">
        <w:rPr>
          <w:rFonts w:ascii="仿宋" w:eastAsia="仿宋" w:hAnsi="仿宋" w:hint="eastAsia"/>
          <w:sz w:val="32"/>
          <w:szCs w:val="32"/>
        </w:rPr>
        <w:t>）</w:t>
      </w:r>
      <w:r w:rsidRPr="00450D0A">
        <w:rPr>
          <w:rFonts w:ascii="仿宋" w:eastAsia="仿宋" w:hAnsi="仿宋" w:hint="eastAsia"/>
          <w:sz w:val="32"/>
          <w:szCs w:val="32"/>
        </w:rPr>
        <w:t>中规定</w:t>
      </w:r>
      <w:r w:rsidRPr="00450D0A">
        <w:rPr>
          <w:rFonts w:ascii="仿宋" w:eastAsia="仿宋" w:hAnsi="仿宋"/>
          <w:sz w:val="32"/>
          <w:szCs w:val="32"/>
        </w:rPr>
        <w:t>，</w:t>
      </w:r>
      <w:r w:rsidR="00393575" w:rsidRPr="005E030B">
        <w:rPr>
          <w:rFonts w:ascii="仿宋" w:eastAsia="仿宋" w:hAnsi="仿宋" w:hint="eastAsia"/>
          <w:sz w:val="32"/>
          <w:szCs w:val="32"/>
        </w:rPr>
        <w:t>从一批产品中采集5个样品,若5个样品的检验结果均小于或等于m 值</w:t>
      </w:r>
      <w:r w:rsidR="00393575" w:rsidRPr="005E030B">
        <w:rPr>
          <w:rFonts w:ascii="仿宋" w:eastAsia="仿宋" w:hAnsi="仿宋" w:hint="eastAsia"/>
          <w:sz w:val="32"/>
          <w:szCs w:val="32"/>
        </w:rPr>
        <w:lastRenderedPageBreak/>
        <w:t>(≤10</w:t>
      </w:r>
      <w:r w:rsidR="00393575" w:rsidRPr="00393575">
        <w:rPr>
          <w:rFonts w:ascii="仿宋" w:eastAsia="仿宋" w:hAnsi="仿宋"/>
          <w:sz w:val="32"/>
          <w:szCs w:val="32"/>
          <w:vertAlign w:val="superscript"/>
        </w:rPr>
        <w:t>4</w:t>
      </w:r>
      <w:r w:rsidR="00393575" w:rsidRPr="005E030B">
        <w:rPr>
          <w:rFonts w:ascii="仿宋" w:eastAsia="仿宋" w:hAnsi="仿宋" w:hint="eastAsia"/>
          <w:sz w:val="32"/>
          <w:szCs w:val="32"/>
        </w:rPr>
        <w:t>CFU/g),则这种情况是允许的;若≤2个样品的结果(X)位于m 值和M 值之间(10</w:t>
      </w:r>
      <w:r w:rsidR="00393575" w:rsidRPr="00393575">
        <w:rPr>
          <w:rFonts w:ascii="仿宋" w:eastAsia="仿宋" w:hAnsi="仿宋"/>
          <w:sz w:val="32"/>
          <w:szCs w:val="32"/>
          <w:vertAlign w:val="superscript"/>
        </w:rPr>
        <w:t>4</w:t>
      </w:r>
      <w:r w:rsidR="00393575" w:rsidRPr="005E030B">
        <w:rPr>
          <w:rFonts w:ascii="仿宋" w:eastAsia="仿宋" w:hAnsi="仿宋" w:hint="eastAsia"/>
          <w:sz w:val="32"/>
          <w:szCs w:val="32"/>
        </w:rPr>
        <w:t>CFU/g</w:t>
      </w:r>
      <w:r w:rsidR="00DE223A" w:rsidRPr="00DE223A">
        <w:rPr>
          <w:rFonts w:ascii="仿宋" w:eastAsia="仿宋" w:hAnsi="仿宋" w:hint="eastAsia"/>
          <w:color w:val="FF0000"/>
          <w:sz w:val="32"/>
          <w:szCs w:val="32"/>
        </w:rPr>
        <w:t>＜</w:t>
      </w:r>
      <w:r w:rsidR="00393575" w:rsidRPr="005E030B">
        <w:rPr>
          <w:rFonts w:ascii="仿宋" w:eastAsia="仿宋" w:hAnsi="仿宋" w:hint="eastAsia"/>
          <w:sz w:val="32"/>
          <w:szCs w:val="32"/>
        </w:rPr>
        <w:t>X≤10</w:t>
      </w:r>
      <w:r w:rsidR="00393575" w:rsidRPr="00393575">
        <w:rPr>
          <w:rFonts w:ascii="仿宋" w:eastAsia="仿宋" w:hAnsi="仿宋"/>
          <w:sz w:val="32"/>
          <w:szCs w:val="32"/>
          <w:vertAlign w:val="superscript"/>
        </w:rPr>
        <w:t>5</w:t>
      </w:r>
      <w:r w:rsidR="00393575" w:rsidRPr="005E030B">
        <w:rPr>
          <w:rFonts w:ascii="仿宋" w:eastAsia="仿宋" w:hAnsi="仿宋" w:hint="eastAsia"/>
          <w:sz w:val="32"/>
          <w:szCs w:val="32"/>
        </w:rPr>
        <w:t>CFU/g),则这种情况也是允许的;若有3个及以上样品的检验结果位于m 值和M 值之间,则这种情况是不允许的;若有任</w:t>
      </w:r>
      <w:proofErr w:type="gramStart"/>
      <w:r w:rsidR="00393575" w:rsidRPr="005E030B">
        <w:rPr>
          <w:rFonts w:ascii="仿宋" w:eastAsia="仿宋" w:hAnsi="仿宋" w:hint="eastAsia"/>
          <w:sz w:val="32"/>
          <w:szCs w:val="32"/>
        </w:rPr>
        <w:t>一</w:t>
      </w:r>
      <w:proofErr w:type="gramEnd"/>
      <w:r w:rsidR="00393575" w:rsidRPr="005E030B">
        <w:rPr>
          <w:rFonts w:ascii="仿宋" w:eastAsia="仿宋" w:hAnsi="仿宋" w:hint="eastAsia"/>
          <w:sz w:val="32"/>
          <w:szCs w:val="32"/>
        </w:rPr>
        <w:t>样品的检验结果大于M 值(</w:t>
      </w:r>
      <w:r w:rsidR="00DE223A" w:rsidRPr="00DE223A">
        <w:rPr>
          <w:rFonts w:ascii="仿宋" w:eastAsia="仿宋" w:hAnsi="仿宋" w:hint="eastAsia"/>
          <w:color w:val="FF0000"/>
          <w:sz w:val="32"/>
          <w:szCs w:val="32"/>
        </w:rPr>
        <w:t>＞</w:t>
      </w:r>
      <w:r w:rsidR="00393575" w:rsidRPr="005E030B">
        <w:rPr>
          <w:rFonts w:ascii="仿宋" w:eastAsia="仿宋" w:hAnsi="仿宋" w:hint="eastAsia"/>
          <w:sz w:val="32"/>
          <w:szCs w:val="32"/>
        </w:rPr>
        <w:t>10</w:t>
      </w:r>
      <w:r w:rsidR="00393575" w:rsidRPr="00393575">
        <w:rPr>
          <w:rFonts w:ascii="仿宋" w:eastAsia="仿宋" w:hAnsi="仿宋"/>
          <w:sz w:val="32"/>
          <w:szCs w:val="32"/>
          <w:vertAlign w:val="superscript"/>
        </w:rPr>
        <w:t>5</w:t>
      </w:r>
      <w:r w:rsidR="00393575" w:rsidRPr="005E030B">
        <w:rPr>
          <w:rFonts w:ascii="仿宋" w:eastAsia="仿宋" w:hAnsi="仿宋" w:hint="eastAsia"/>
          <w:sz w:val="32"/>
          <w:szCs w:val="32"/>
        </w:rPr>
        <w:t>CFU/g),则这种情况也是不允许的</w:t>
      </w:r>
      <w:r w:rsidRPr="00450D0A">
        <w:rPr>
          <w:rFonts w:ascii="仿宋" w:eastAsia="仿宋" w:hAnsi="仿宋"/>
          <w:sz w:val="32"/>
          <w:szCs w:val="32"/>
        </w:rPr>
        <w:t>。</w:t>
      </w:r>
      <w:r w:rsidRPr="00450D0A">
        <w:rPr>
          <w:rFonts w:ascii="仿宋" w:eastAsia="仿宋" w:hAnsi="仿宋" w:hint="eastAsia"/>
          <w:sz w:val="32"/>
          <w:szCs w:val="32"/>
        </w:rPr>
        <w:t>如果食品的菌落总数严重超标，将会破坏食品的营养成分，加速食品的腐败变质，使食品失去食用价值，而且食用菌落总数超标的食品也可能会引起食源性疾病。</w:t>
      </w:r>
    </w:p>
    <w:p w:rsidR="006012B5" w:rsidRDefault="006012B5" w:rsidP="006012B5">
      <w:pPr>
        <w:numPr>
          <w:ilvl w:val="0"/>
          <w:numId w:val="1"/>
        </w:numPr>
        <w:spacing w:line="560" w:lineRule="exact"/>
        <w:rPr>
          <w:rFonts w:ascii="黑体" w:eastAsia="黑体" w:hAnsi="黑体" w:cs="仿宋_GB2312"/>
          <w:b/>
          <w:sz w:val="32"/>
          <w:szCs w:val="32"/>
        </w:rPr>
      </w:pPr>
      <w:bookmarkStart w:id="1" w:name="_GoBack"/>
      <w:bookmarkEnd w:id="1"/>
      <w:r>
        <w:rPr>
          <w:rFonts w:ascii="黑体" w:eastAsia="黑体" w:hAnsi="黑体" w:cs="仿宋_GB2312" w:hint="eastAsia"/>
          <w:b/>
          <w:sz w:val="32"/>
          <w:szCs w:val="32"/>
        </w:rPr>
        <w:t>建议</w:t>
      </w:r>
    </w:p>
    <w:p w:rsidR="006012B5" w:rsidRDefault="006012B5" w:rsidP="006012B5">
      <w:pPr>
        <w:pStyle w:val="a3"/>
        <w:shd w:val="clear" w:color="auto" w:fill="FFFFFF"/>
        <w:spacing w:before="0" w:beforeAutospacing="0" w:after="0" w:afterAutospacing="0" w:line="560" w:lineRule="exact"/>
        <w:ind w:firstLineChars="250" w:firstLine="803"/>
        <w:rPr>
          <w:rStyle w:val="a4"/>
          <w:rFonts w:ascii="楷体" w:eastAsia="楷体" w:hAnsi="楷体"/>
          <w:color w:val="2B2B2B"/>
        </w:rPr>
      </w:pPr>
      <w:r>
        <w:rPr>
          <w:rStyle w:val="a4"/>
          <w:rFonts w:ascii="楷体" w:eastAsia="楷体" w:hAnsi="楷体" w:hint="eastAsia"/>
          <w:color w:val="2B2B2B"/>
          <w:sz w:val="32"/>
          <w:szCs w:val="32"/>
        </w:rPr>
        <w:t>1.严格把关食品及原材料</w:t>
      </w:r>
    </w:p>
    <w:p w:rsidR="006012B5" w:rsidRDefault="006012B5" w:rsidP="006012B5">
      <w:pPr>
        <w:spacing w:line="560" w:lineRule="exact"/>
        <w:ind w:firstLineChars="200" w:firstLine="640"/>
        <w:rPr>
          <w:rFonts w:ascii="仿宋" w:eastAsia="仿宋" w:hAnsi="仿宋"/>
        </w:rPr>
      </w:pPr>
      <w:r>
        <w:rPr>
          <w:rFonts w:ascii="仿宋" w:eastAsia="仿宋" w:hAnsi="仿宋" w:hint="eastAsia"/>
          <w:sz w:val="32"/>
          <w:szCs w:val="32"/>
        </w:rPr>
        <w:t>食品生产经营者应当建立食品进货查验记录和索证索票制度，如实记录食品的生产批号、保质期、供货者名称及联系方式、进货日期等内容，并查验供货者的许可证和包含必要检测项目的食品合格证明文件，必要时可将产品送检。</w:t>
      </w:r>
    </w:p>
    <w:p w:rsidR="006012B5" w:rsidRDefault="006012B5" w:rsidP="006012B5">
      <w:pPr>
        <w:pStyle w:val="a3"/>
        <w:shd w:val="clear" w:color="auto" w:fill="FFFFFF"/>
        <w:spacing w:before="0" w:beforeAutospacing="0" w:after="0" w:afterAutospacing="0" w:line="560" w:lineRule="exact"/>
        <w:ind w:firstLineChars="250" w:firstLine="803"/>
        <w:rPr>
          <w:rStyle w:val="a4"/>
          <w:rFonts w:ascii="楷体" w:eastAsia="楷体" w:hAnsi="楷体"/>
        </w:rPr>
      </w:pPr>
      <w:r>
        <w:rPr>
          <w:rStyle w:val="a4"/>
          <w:rFonts w:ascii="楷体" w:eastAsia="楷体" w:hAnsi="楷体" w:hint="eastAsia"/>
          <w:sz w:val="32"/>
          <w:szCs w:val="32"/>
        </w:rPr>
        <w:t>2.加强生产加工过程的质量控制</w:t>
      </w:r>
    </w:p>
    <w:p w:rsidR="006012B5" w:rsidRDefault="006012B5" w:rsidP="006012B5">
      <w:pPr>
        <w:spacing w:line="560" w:lineRule="exact"/>
        <w:ind w:firstLineChars="200" w:firstLine="640"/>
        <w:rPr>
          <w:rFonts w:ascii="仿宋" w:eastAsia="仿宋" w:hAnsi="仿宋" w:cs="宋体"/>
          <w:kern w:val="0"/>
        </w:rPr>
      </w:pPr>
      <w:r>
        <w:rPr>
          <w:rFonts w:ascii="仿宋" w:eastAsia="仿宋" w:hAnsi="仿宋" w:cs="宋体" w:hint="eastAsia"/>
          <w:kern w:val="0"/>
          <w:sz w:val="32"/>
          <w:szCs w:val="32"/>
        </w:rPr>
        <w:t>食品生产经营者应加强生产加工过程中的工艺控制，严格落实食品加工温度和食品储存条件的要求，合理使用食品添加剂，定期对食品生产加工的</w:t>
      </w:r>
      <w:r>
        <w:rPr>
          <w:rFonts w:eastAsia="仿宋_GB2312" w:hint="eastAsia"/>
          <w:sz w:val="32"/>
          <w:szCs w:val="32"/>
        </w:rPr>
        <w:t>环境和设施进行消毒、清洁</w:t>
      </w:r>
      <w:r>
        <w:rPr>
          <w:rFonts w:ascii="仿宋" w:eastAsia="仿宋" w:hAnsi="仿宋" w:cs="宋体" w:hint="eastAsia"/>
          <w:kern w:val="0"/>
          <w:sz w:val="32"/>
          <w:szCs w:val="32"/>
        </w:rPr>
        <w:t>。</w:t>
      </w:r>
    </w:p>
    <w:p w:rsidR="006012B5" w:rsidRDefault="006012B5" w:rsidP="006012B5">
      <w:pPr>
        <w:pStyle w:val="a3"/>
        <w:shd w:val="clear" w:color="auto" w:fill="FFFFFF"/>
        <w:spacing w:before="0" w:beforeAutospacing="0" w:after="0" w:afterAutospacing="0" w:line="560" w:lineRule="exact"/>
        <w:ind w:firstLineChars="200" w:firstLine="643"/>
        <w:rPr>
          <w:rStyle w:val="a4"/>
          <w:rFonts w:ascii="楷体" w:eastAsia="楷体" w:hAnsi="楷体"/>
          <w:color w:val="2B2B2B"/>
        </w:rPr>
      </w:pPr>
      <w:r>
        <w:rPr>
          <w:rStyle w:val="a4"/>
          <w:rFonts w:ascii="楷体" w:eastAsia="楷体" w:hAnsi="楷体" w:hint="eastAsia"/>
          <w:color w:val="2B2B2B"/>
          <w:sz w:val="32"/>
          <w:szCs w:val="32"/>
        </w:rPr>
        <w:t>3</w:t>
      </w:r>
      <w:bookmarkStart w:id="2" w:name="OLE_LINK1"/>
      <w:r>
        <w:rPr>
          <w:rStyle w:val="a4"/>
          <w:rFonts w:ascii="楷体" w:eastAsia="楷体" w:hAnsi="楷体" w:hint="eastAsia"/>
          <w:color w:val="2B2B2B"/>
          <w:sz w:val="32"/>
          <w:szCs w:val="32"/>
        </w:rPr>
        <w:t>.加强食品从业人员的培训</w:t>
      </w:r>
      <w:bookmarkEnd w:id="2"/>
    </w:p>
    <w:p w:rsidR="00A15FF0" w:rsidRDefault="006012B5" w:rsidP="006012B5">
      <w:r>
        <w:rPr>
          <w:rFonts w:ascii="仿宋" w:eastAsia="仿宋" w:hAnsi="仿宋" w:hint="eastAsia"/>
          <w:sz w:val="32"/>
          <w:szCs w:val="32"/>
        </w:rPr>
        <w:t>食品生产经营企业应建立相关岗位的培训制度，加强日常监管及培训，对食品加工人员以及相关岗位的从业人员进行相应的食品安全知识培训，</w:t>
      </w:r>
      <w:r>
        <w:rPr>
          <w:rFonts w:ascii="仿宋" w:eastAsia="仿宋" w:hAnsi="仿宋" w:cs="仿宋" w:hint="eastAsia"/>
          <w:snapToGrid w:val="0"/>
          <w:sz w:val="32"/>
        </w:rPr>
        <w:t>提高食品从业人员的食品安全意识和维护食品安全能力</w:t>
      </w:r>
      <w:r>
        <w:rPr>
          <w:rFonts w:ascii="仿宋" w:eastAsia="仿宋" w:hAnsi="仿宋" w:hint="eastAsia"/>
          <w:sz w:val="32"/>
          <w:szCs w:val="32"/>
        </w:rPr>
        <w:t>。</w:t>
      </w:r>
    </w:p>
    <w:sectPr w:rsidR="00A15FF0" w:rsidSect="00F670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10" w:rsidRDefault="00847D10" w:rsidP="00591491">
      <w:r>
        <w:separator/>
      </w:r>
    </w:p>
  </w:endnote>
  <w:endnote w:type="continuationSeparator" w:id="0">
    <w:p w:rsidR="00847D10" w:rsidRDefault="00847D10" w:rsidP="0059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10" w:rsidRDefault="00847D10" w:rsidP="00591491">
      <w:r>
        <w:separator/>
      </w:r>
    </w:p>
  </w:footnote>
  <w:footnote w:type="continuationSeparator" w:id="0">
    <w:p w:rsidR="00847D10" w:rsidRDefault="00847D10" w:rsidP="00591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6E24"/>
    <w:multiLevelType w:val="hybridMultilevel"/>
    <w:tmpl w:val="26225BD4"/>
    <w:lvl w:ilvl="0" w:tplc="B9B8615A">
      <w:start w:val="1"/>
      <w:numFmt w:val="decimal"/>
      <w:lvlText w:val="%1、"/>
      <w:lvlJc w:val="left"/>
      <w:pPr>
        <w:ind w:left="1363" w:hanging="720"/>
      </w:pPr>
      <w:rPr>
        <w:rFonts w:cs="Times New Roman"/>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26FE1526"/>
    <w:multiLevelType w:val="hybridMultilevel"/>
    <w:tmpl w:val="26225BD4"/>
    <w:lvl w:ilvl="0" w:tplc="B9B8615A">
      <w:start w:val="1"/>
      <w:numFmt w:val="decimal"/>
      <w:lvlText w:val="%1、"/>
      <w:lvlJc w:val="left"/>
      <w:pPr>
        <w:ind w:left="1363" w:hanging="720"/>
      </w:pPr>
      <w:rPr>
        <w:rFonts w:cs="Times New Roman"/>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2">
    <w:nsid w:val="40B1175B"/>
    <w:multiLevelType w:val="hybridMultilevel"/>
    <w:tmpl w:val="26225BD4"/>
    <w:lvl w:ilvl="0" w:tplc="B9B8615A">
      <w:start w:val="1"/>
      <w:numFmt w:val="decimal"/>
      <w:lvlText w:val="%1、"/>
      <w:lvlJc w:val="left"/>
      <w:pPr>
        <w:ind w:left="1363" w:hanging="720"/>
      </w:pPr>
      <w:rPr>
        <w:rFonts w:cs="Times New Roman"/>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3">
    <w:nsid w:val="46770E21"/>
    <w:multiLevelType w:val="hybridMultilevel"/>
    <w:tmpl w:val="26225BD4"/>
    <w:lvl w:ilvl="0" w:tplc="B9B8615A">
      <w:start w:val="1"/>
      <w:numFmt w:val="decimal"/>
      <w:lvlText w:val="%1、"/>
      <w:lvlJc w:val="left"/>
      <w:pPr>
        <w:ind w:left="1363" w:hanging="720"/>
      </w:pPr>
      <w:rPr>
        <w:rFonts w:cs="Times New Roman"/>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4">
    <w:nsid w:val="4B9D0242"/>
    <w:multiLevelType w:val="multilevel"/>
    <w:tmpl w:val="4B9D0242"/>
    <w:lvl w:ilvl="0">
      <w:start w:val="1"/>
      <w:numFmt w:val="japaneseCounting"/>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6F9B623E"/>
    <w:multiLevelType w:val="hybridMultilevel"/>
    <w:tmpl w:val="26225BD4"/>
    <w:lvl w:ilvl="0" w:tplc="B9B8615A">
      <w:start w:val="1"/>
      <w:numFmt w:val="decimal"/>
      <w:lvlText w:val="%1、"/>
      <w:lvlJc w:val="left"/>
      <w:pPr>
        <w:ind w:left="1287" w:hanging="720"/>
      </w:pPr>
      <w:rPr>
        <w:rFonts w:cs="Times New Roman"/>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B5"/>
    <w:rsid w:val="001E09EA"/>
    <w:rsid w:val="00307AD1"/>
    <w:rsid w:val="00393575"/>
    <w:rsid w:val="00450D0A"/>
    <w:rsid w:val="00591491"/>
    <w:rsid w:val="006012B5"/>
    <w:rsid w:val="006729AA"/>
    <w:rsid w:val="00702463"/>
    <w:rsid w:val="00793C1B"/>
    <w:rsid w:val="00847D10"/>
    <w:rsid w:val="008B2F50"/>
    <w:rsid w:val="00A15FF0"/>
    <w:rsid w:val="00DE223A"/>
    <w:rsid w:val="00EE798A"/>
    <w:rsid w:val="00F129E5"/>
    <w:rsid w:val="00F67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B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012B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6012B5"/>
    <w:rPr>
      <w:b/>
      <w:bCs/>
    </w:rPr>
  </w:style>
  <w:style w:type="paragraph" w:customStyle="1" w:styleId="2">
    <w:name w:val="列出段落2"/>
    <w:basedOn w:val="a"/>
    <w:uiPriority w:val="34"/>
    <w:qFormat/>
    <w:rsid w:val="00307AD1"/>
    <w:pPr>
      <w:ind w:firstLineChars="200" w:firstLine="420"/>
    </w:pPr>
    <w:rPr>
      <w:rFonts w:ascii="Calibri" w:hAnsi="Calibri"/>
    </w:rPr>
  </w:style>
  <w:style w:type="paragraph" w:styleId="a5">
    <w:name w:val="List Paragraph"/>
    <w:basedOn w:val="a"/>
    <w:uiPriority w:val="34"/>
    <w:qFormat/>
    <w:rsid w:val="00450D0A"/>
    <w:pPr>
      <w:ind w:firstLineChars="200" w:firstLine="420"/>
    </w:pPr>
  </w:style>
  <w:style w:type="paragraph" w:styleId="a6">
    <w:name w:val="header"/>
    <w:basedOn w:val="a"/>
    <w:link w:val="Char"/>
    <w:uiPriority w:val="99"/>
    <w:semiHidden/>
    <w:unhideWhenUsed/>
    <w:rsid w:val="00591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91491"/>
    <w:rPr>
      <w:rFonts w:ascii="Times New Roman" w:eastAsia="宋体" w:hAnsi="Times New Roman" w:cs="Times New Roman"/>
      <w:sz w:val="18"/>
      <w:szCs w:val="18"/>
    </w:rPr>
  </w:style>
  <w:style w:type="paragraph" w:styleId="a7">
    <w:name w:val="footer"/>
    <w:basedOn w:val="a"/>
    <w:link w:val="Char0"/>
    <w:uiPriority w:val="99"/>
    <w:semiHidden/>
    <w:unhideWhenUsed/>
    <w:rsid w:val="0059149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914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6769241">
      <w:bodyDiv w:val="1"/>
      <w:marLeft w:val="0"/>
      <w:marRight w:val="0"/>
      <w:marTop w:val="0"/>
      <w:marBottom w:val="0"/>
      <w:divBdr>
        <w:top w:val="none" w:sz="0" w:space="0" w:color="auto"/>
        <w:left w:val="none" w:sz="0" w:space="0" w:color="auto"/>
        <w:bottom w:val="none" w:sz="0" w:space="0" w:color="auto"/>
        <w:right w:val="none" w:sz="0" w:space="0" w:color="auto"/>
      </w:divBdr>
    </w:div>
    <w:div w:id="282737814">
      <w:bodyDiv w:val="1"/>
      <w:marLeft w:val="0"/>
      <w:marRight w:val="0"/>
      <w:marTop w:val="0"/>
      <w:marBottom w:val="0"/>
      <w:divBdr>
        <w:top w:val="none" w:sz="0" w:space="0" w:color="auto"/>
        <w:left w:val="none" w:sz="0" w:space="0" w:color="auto"/>
        <w:bottom w:val="none" w:sz="0" w:space="0" w:color="auto"/>
        <w:right w:val="none" w:sz="0" w:space="0" w:color="auto"/>
      </w:divBdr>
      <w:divsChild>
        <w:div w:id="182203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130009&amp;ss_c=ssc.citiao.link" TargetMode="External"/><Relationship Id="rId3" Type="http://schemas.openxmlformats.org/officeDocument/2006/relationships/settings" Target="settings.xml"/><Relationship Id="rId7" Type="http://schemas.openxmlformats.org/officeDocument/2006/relationships/hyperlink" Target="http://baike.sogou.com/lemma/ShowInnerLink.htm?lemmaId=13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2019-04-17T02:21:00Z</dcterms:created>
  <dcterms:modified xsi:type="dcterms:W3CDTF">2019-04-28T07:00:00Z</dcterms:modified>
</cp:coreProperties>
</file>