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AF" w:rsidRPr="00836C73" w:rsidRDefault="00985782">
      <w:pPr>
        <w:widowControl/>
        <w:spacing w:line="600" w:lineRule="exact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 w:rsidRPr="00836C73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附件3</w:t>
      </w:r>
    </w:p>
    <w:p w:rsidR="00AE19AF" w:rsidRPr="00836C73" w:rsidRDefault="00985782">
      <w:pPr>
        <w:spacing w:line="560" w:lineRule="exact"/>
        <w:jc w:val="center"/>
        <w:rPr>
          <w:rFonts w:eastAsia="方正小标宋简体"/>
          <w:color w:val="000000" w:themeColor="text1"/>
          <w:spacing w:val="-12"/>
          <w:sz w:val="44"/>
          <w:szCs w:val="44"/>
        </w:rPr>
      </w:pPr>
      <w:r w:rsidRPr="00836C73">
        <w:rPr>
          <w:rFonts w:eastAsia="方正小标宋简体" w:hint="eastAsia"/>
          <w:color w:val="000000" w:themeColor="text1"/>
          <w:spacing w:val="-12"/>
          <w:sz w:val="44"/>
          <w:szCs w:val="44"/>
        </w:rPr>
        <w:t>部分不合格项目小知识</w:t>
      </w:r>
    </w:p>
    <w:p w:rsidR="00AE19AF" w:rsidRPr="00836C73" w:rsidRDefault="00985782">
      <w:pPr>
        <w:spacing w:line="560" w:lineRule="exact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 w:rsidRPr="00836C73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一、不合格项目小知识</w:t>
      </w:r>
    </w:p>
    <w:p w:rsidR="00AE19AF" w:rsidRPr="00836C73" w:rsidRDefault="00985782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836C73"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1</w:t>
      </w:r>
      <w:r w:rsidR="00020912"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.</w:t>
      </w:r>
      <w:r w:rsidRPr="00836C73">
        <w:rPr>
          <w:rFonts w:ascii="楷体" w:eastAsia="楷体" w:hAnsi="楷体"/>
          <w:b/>
          <w:color w:val="000000" w:themeColor="text1"/>
          <w:sz w:val="32"/>
          <w:szCs w:val="32"/>
        </w:rPr>
        <w:t>菌落总数</w:t>
      </w:r>
    </w:p>
    <w:p w:rsidR="00AE19AF" w:rsidRPr="00836C73" w:rsidRDefault="0098578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菌落总数是指示性微生物指标，并非致病菌指标，主要用来评价食品清洁度，反映食品在生产过程中是否符合卫生要求，一定程度上标志着食品卫生质量的优劣。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《食品安全国家标准 糕点、面包》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GB 7099-2015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）及《食品安全国家标准 熟肉制品》（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GB 2726-2016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）中规定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从一批产品中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采集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5个样品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，若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5个样品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的检验结果均小于或等于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m值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≤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836C73"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4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CFU/g）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则这种情况是允许的；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若≤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样品的结果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（X）位于m值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和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M值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之间（10</w:t>
      </w:r>
      <w:r w:rsidRPr="00836C73"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4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CFU/g＜X≤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836C73"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5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CFU/g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,则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这种情况也是允许的；若有3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及以上的样品检验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结果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位于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m值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和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M值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之间，则这种情况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是不允许的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；若有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任</w:t>
      </w:r>
      <w:proofErr w:type="gramStart"/>
      <w:r w:rsidRPr="00836C73">
        <w:rPr>
          <w:rFonts w:ascii="仿宋" w:eastAsia="仿宋" w:hAnsi="仿宋"/>
          <w:color w:val="000000" w:themeColor="text1"/>
          <w:sz w:val="32"/>
          <w:szCs w:val="32"/>
        </w:rPr>
        <w:t>一</w:t>
      </w:r>
      <w:proofErr w:type="gramEnd"/>
      <w:r w:rsidRPr="00836C73">
        <w:rPr>
          <w:rFonts w:ascii="仿宋" w:eastAsia="仿宋" w:hAnsi="仿宋"/>
          <w:color w:val="000000" w:themeColor="text1"/>
          <w:sz w:val="32"/>
          <w:szCs w:val="32"/>
        </w:rPr>
        <w:t>样品的检验结果大于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M值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＞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836C73">
        <w:rPr>
          <w:rFonts w:ascii="仿宋" w:eastAsia="仿宋" w:hAnsi="仿宋"/>
          <w:color w:val="000000" w:themeColor="text1"/>
          <w:sz w:val="32"/>
          <w:szCs w:val="32"/>
          <w:vertAlign w:val="superscript"/>
        </w:rPr>
        <w:t>5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CFU/g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则这种情况也是不允许的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食品的菌落总数严重超标，说明其产品的卫生状况达不到基本的卫生要求，将会破坏食品的营养成分，加速食品的腐败变质，使食品失去食用价值。消费者食用微生物超标严重的食品，容易患痢疾等肠道疾病，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会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引起呕吐、腹泻等症状。</w:t>
      </w:r>
    </w:p>
    <w:p w:rsidR="00AE19AF" w:rsidRPr="00836C73" w:rsidRDefault="00985782">
      <w:pPr>
        <w:spacing w:line="560" w:lineRule="exact"/>
        <w:ind w:firstLineChars="200" w:firstLine="643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 w:rsidRPr="00836C73">
        <w:rPr>
          <w:rFonts w:ascii="楷体" w:eastAsia="楷体" w:hAnsi="楷体" w:cs="仿宋_GB2312"/>
          <w:b/>
          <w:color w:val="000000" w:themeColor="text1"/>
          <w:sz w:val="32"/>
          <w:szCs w:val="32"/>
        </w:rPr>
        <w:t>2</w:t>
      </w:r>
      <w:r w:rsidR="00020912"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.</w:t>
      </w:r>
      <w:r w:rsidRPr="00836C73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脱氢乙酸及其钠盐</w:t>
      </w:r>
    </w:p>
    <w:p w:rsidR="00AE19AF" w:rsidRPr="00836C73" w:rsidRDefault="0098578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脱氢乙酸及其钠盐作为食品添加剂，广泛用作防腐剂，对霉菌具有较强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的抑制作用。《食品安全国家标准 食品添加剂使用标准》（GB 2760-2014）中规定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，糕点中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脱氢乙酸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lastRenderedPageBreak/>
        <w:t>及其钠盐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应≤0.5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g/kg。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由于脱氢乙酸可与血浆的白蛋白或组织中蛋白质的胺基结合，经常食用脱氢乙酸含量超标的食品，会对肝、肾和中枢神经系统造成伤害，特别是老年人、儿童及低免疫力人群。消费者要树立科学、健康的饮食观，在选购食品时切忌盲目追求产品卖相，注意荤素合理搭配、营养均衡。</w:t>
      </w:r>
    </w:p>
    <w:p w:rsidR="00AE19AF" w:rsidRPr="00836C73" w:rsidRDefault="00985782">
      <w:pPr>
        <w:spacing w:line="560" w:lineRule="exact"/>
        <w:ind w:firstLineChars="200" w:firstLine="643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836C73"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3</w:t>
      </w:r>
      <w:r w:rsidR="00020912"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.</w:t>
      </w:r>
      <w:r w:rsidRPr="00836C73">
        <w:rPr>
          <w:rFonts w:ascii="楷体" w:eastAsia="楷体" w:hAnsi="楷体" w:cs="仿宋_GB2312" w:hint="eastAsia"/>
          <w:b/>
          <w:color w:val="000000" w:themeColor="text1"/>
          <w:sz w:val="32"/>
          <w:szCs w:val="32"/>
        </w:rPr>
        <w:t>铝的残留量</w:t>
      </w:r>
    </w:p>
    <w:p w:rsidR="00AE19AF" w:rsidRPr="00836C73" w:rsidRDefault="0098578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铝作为</w:t>
      </w:r>
      <w:proofErr w:type="gramEnd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食品添加剂硫酸铝钾的重要成分，经常会添加在食物中作为膨松剂或稳定剂。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《食品安全国家标准 食品添加剂使用标准》（GB 2760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2014）中规定，</w:t>
      </w:r>
      <w:hyperlink r:id="rId8" w:history="1">
        <w:r w:rsidRPr="00836C73">
          <w:rPr>
            <w:rFonts w:ascii="仿宋" w:eastAsia="仿宋" w:hAnsi="仿宋" w:hint="eastAsia"/>
            <w:color w:val="000000" w:themeColor="text1"/>
            <w:sz w:val="32"/>
            <w:szCs w:val="32"/>
          </w:rPr>
          <w:t>油炸面制品</w:t>
        </w:r>
      </w:hyperlink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中的铝的残留量应≤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00mg/kg。铝有一定的慢性毒性，经常摄入铝超标的食品，在体内可造成铝的蓄积，轻者会使食欲减退，引起贫血，重者会表现为神经毒性，使人运动失调、记忆力衰退等。消费者要树立科学、健康的饮食观，在选购食品时切忌盲目追求产品卖相，注意荤素合理搭配、营养均衡。</w:t>
      </w:r>
    </w:p>
    <w:p w:rsidR="00AE19AF" w:rsidRPr="00836C73" w:rsidRDefault="00985782">
      <w:pPr>
        <w:spacing w:line="560" w:lineRule="exact"/>
        <w:ind w:firstLineChars="200" w:firstLine="643"/>
        <w:rPr>
          <w:rFonts w:ascii="楷体" w:eastAsia="楷体" w:hAnsi="楷体" w:cs="Arial"/>
          <w:b/>
          <w:color w:val="000000" w:themeColor="text1"/>
          <w:sz w:val="32"/>
          <w:szCs w:val="32"/>
          <w:shd w:val="clear" w:color="auto" w:fill="FFFFFF"/>
        </w:rPr>
      </w:pPr>
      <w:r w:rsidRPr="00836C73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4</w:t>
      </w:r>
      <w:r w:rsidR="00020912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.</w:t>
      </w:r>
      <w:r w:rsidRPr="00836C73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过氧化值</w:t>
      </w:r>
    </w:p>
    <w:p w:rsidR="00AE19AF" w:rsidRPr="00836C73" w:rsidRDefault="0098578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6C73">
        <w:rPr>
          <w:rFonts w:ascii="仿宋" w:eastAsia="仿宋" w:hAnsi="仿宋"/>
          <w:color w:val="000000" w:themeColor="text1"/>
          <w:sz w:val="32"/>
          <w:szCs w:val="32"/>
        </w:rPr>
        <w:t>过氧化值主要反映食品中油脂是否氧化变质。随着油脂氧化，过氧化值会逐步升高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。《食品安全国家标准 植物油》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（GB 2716-2018）中规定，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食用植物油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中的过氧化值应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≤0.25g/100g；《食品安全国家标准 坚果与籽类食品》（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GB 19300-2014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中规定，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熟制坚果与籽类（除葵花籽）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中的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过氧化值(以脂肪计)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应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≤0.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50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g/100g。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过氧化值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升高一般不会影响人体健康，但过高时会导致肠胃不适、腹泻等症状。</w:t>
      </w:r>
    </w:p>
    <w:p w:rsidR="00AE19AF" w:rsidRPr="00836C73" w:rsidRDefault="00985782">
      <w:pPr>
        <w:spacing w:line="560" w:lineRule="exact"/>
        <w:ind w:firstLineChars="200" w:firstLine="643"/>
        <w:rPr>
          <w:rFonts w:ascii="楷体" w:eastAsia="楷体" w:hAnsi="楷体" w:cs="Arial"/>
          <w:b/>
          <w:color w:val="000000" w:themeColor="text1"/>
          <w:sz w:val="32"/>
          <w:szCs w:val="32"/>
          <w:shd w:val="clear" w:color="auto" w:fill="FFFFFF"/>
        </w:rPr>
      </w:pPr>
      <w:r w:rsidRPr="00836C73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5</w:t>
      </w:r>
      <w:r w:rsidR="00020912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.</w:t>
      </w:r>
      <w:r w:rsidRPr="00836C73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酸价</w:t>
      </w:r>
    </w:p>
    <w:p w:rsidR="00AE19AF" w:rsidRPr="00836C73" w:rsidRDefault="0098578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酸值主要反映食品中的油脂酸败的程度。《食品安全国家标准 方便面》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（GB17400-2015）规定，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油炸面饼中的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酸价(以脂肪计)(KOH)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应≤1.8mg/g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油脂酸败产生的醛酮类等化合物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会导致人体肠胃不适、腹泻并损害肝脏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，一般情况下，消费者可以辨别出油脂酸败特有的哈喇等异味，需避免食用。</w:t>
      </w:r>
    </w:p>
    <w:p w:rsidR="00AE19AF" w:rsidRPr="00836C73" w:rsidRDefault="00985782">
      <w:pPr>
        <w:spacing w:line="560" w:lineRule="exact"/>
        <w:ind w:firstLineChars="200" w:firstLine="643"/>
        <w:rPr>
          <w:rFonts w:ascii="楷体" w:eastAsia="楷体" w:hAnsi="楷体" w:cs="Arial"/>
          <w:b/>
          <w:color w:val="000000" w:themeColor="text1"/>
          <w:sz w:val="32"/>
          <w:szCs w:val="32"/>
          <w:shd w:val="clear" w:color="auto" w:fill="FFFFFF"/>
        </w:rPr>
      </w:pPr>
      <w:r w:rsidRPr="00836C73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6</w:t>
      </w:r>
      <w:r w:rsidR="00020912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.</w:t>
      </w:r>
      <w:proofErr w:type="gramStart"/>
      <w:r w:rsidRPr="00836C73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恩诺沙</w:t>
      </w:r>
      <w:proofErr w:type="gramEnd"/>
      <w:r w:rsidRPr="00836C73">
        <w:rPr>
          <w:rFonts w:ascii="楷体" w:eastAsia="楷体" w:hAnsi="楷体" w:cs="Arial" w:hint="eastAsia"/>
          <w:b/>
          <w:color w:val="000000" w:themeColor="text1"/>
          <w:sz w:val="32"/>
          <w:szCs w:val="32"/>
          <w:shd w:val="clear" w:color="auto" w:fill="FFFFFF"/>
        </w:rPr>
        <w:t>星</w:t>
      </w:r>
    </w:p>
    <w:p w:rsidR="00AE19AF" w:rsidRPr="00836C73" w:rsidRDefault="0098578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恩诺沙</w:t>
      </w:r>
      <w:proofErr w:type="gramEnd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星为广谱杀菌药，对支原体有特效，对大肠杆菌、</w:t>
      </w:r>
      <w:proofErr w:type="gramStart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克雷白杆菌</w:t>
      </w:r>
      <w:proofErr w:type="gramEnd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、沙门氏菌、变形杆菌、绿脓杆菌、嗜血杆菌、多杀性巴氏杆菌、溶血性巴氏杆菌、金葡菌、链球菌等都有杀菌效用。《动物性食品中兽药最高残留限量》（农业部公告第235号）中规定，猪肉</w:t>
      </w:r>
      <w:proofErr w:type="gramStart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中恩诺沙</w:t>
      </w:r>
      <w:proofErr w:type="gramEnd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星应≤100μg/kg。老年人、儿童及低免疫力人群摄入较多</w:t>
      </w:r>
      <w:proofErr w:type="gramStart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恩诺沙</w:t>
      </w:r>
      <w:proofErr w:type="gramEnd"/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星超标的猪肉,可引起轻度胃肠道不适,头痛、头晕等症状，并产生耐药性。</w:t>
      </w:r>
    </w:p>
    <w:p w:rsidR="00AE19AF" w:rsidRPr="00836C73" w:rsidRDefault="00985782">
      <w:pPr>
        <w:spacing w:line="560" w:lineRule="exact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 w:rsidRPr="00836C73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二、建议</w:t>
      </w:r>
      <w:bookmarkStart w:id="0" w:name="_GoBack"/>
      <w:bookmarkEnd w:id="0"/>
    </w:p>
    <w:p w:rsidR="00AE19AF" w:rsidRPr="00836C73" w:rsidRDefault="00985782">
      <w:pPr>
        <w:pStyle w:val="a6"/>
        <w:shd w:val="clear" w:color="auto" w:fill="FFFFFF"/>
        <w:spacing w:before="0" w:beforeAutospacing="0" w:after="0" w:afterAutospacing="0" w:line="560" w:lineRule="exact"/>
        <w:ind w:left="708"/>
        <w:jc w:val="both"/>
        <w:rPr>
          <w:rStyle w:val="a7"/>
          <w:rFonts w:ascii="楷体" w:eastAsia="楷体" w:hAnsi="楷体"/>
          <w:color w:val="000000" w:themeColor="text1"/>
          <w:sz w:val="32"/>
          <w:szCs w:val="32"/>
        </w:rPr>
      </w:pPr>
      <w:r w:rsidRPr="00836C73">
        <w:rPr>
          <w:rStyle w:val="a7"/>
          <w:rFonts w:ascii="楷体" w:eastAsia="楷体" w:hAnsi="楷体" w:hint="eastAsia"/>
          <w:color w:val="000000" w:themeColor="text1"/>
          <w:sz w:val="32"/>
          <w:szCs w:val="32"/>
        </w:rPr>
        <w:t>1</w:t>
      </w:r>
      <w:r w:rsidR="00020912">
        <w:rPr>
          <w:rStyle w:val="a7"/>
          <w:rFonts w:ascii="楷体" w:eastAsia="楷体" w:hAnsi="楷体" w:hint="eastAsia"/>
          <w:color w:val="000000" w:themeColor="text1"/>
          <w:sz w:val="32"/>
          <w:szCs w:val="32"/>
        </w:rPr>
        <w:t>.</w:t>
      </w:r>
      <w:r w:rsidRPr="00836C73">
        <w:rPr>
          <w:rStyle w:val="a7"/>
          <w:rFonts w:ascii="楷体" w:eastAsia="楷体" w:hAnsi="楷体" w:hint="eastAsia"/>
          <w:color w:val="000000" w:themeColor="text1"/>
          <w:sz w:val="32"/>
          <w:szCs w:val="32"/>
        </w:rPr>
        <w:t>严格把关食品质量</w:t>
      </w:r>
    </w:p>
    <w:p w:rsidR="00AE19AF" w:rsidRPr="00836C73" w:rsidRDefault="00985782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采购的食品和原辅料符合标准的有关规定和要求。</w:t>
      </w:r>
    </w:p>
    <w:p w:rsidR="00AE19AF" w:rsidRPr="00836C73" w:rsidRDefault="00985782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7"/>
          <w:rFonts w:ascii="楷体" w:eastAsia="楷体" w:hAnsi="楷体"/>
          <w:color w:val="000000" w:themeColor="text1"/>
          <w:sz w:val="32"/>
          <w:szCs w:val="32"/>
        </w:rPr>
      </w:pPr>
      <w:r w:rsidRPr="00836C73">
        <w:rPr>
          <w:rStyle w:val="a7"/>
          <w:rFonts w:ascii="楷体" w:eastAsia="楷体" w:hAnsi="楷体" w:hint="eastAsia"/>
          <w:color w:val="000000" w:themeColor="text1"/>
          <w:sz w:val="32"/>
          <w:szCs w:val="32"/>
        </w:rPr>
        <w:t>2</w:t>
      </w:r>
      <w:r w:rsidR="00020912">
        <w:rPr>
          <w:rStyle w:val="a7"/>
          <w:rFonts w:ascii="楷体" w:eastAsia="楷体" w:hAnsi="楷体" w:hint="eastAsia"/>
          <w:color w:val="000000" w:themeColor="text1"/>
          <w:sz w:val="32"/>
          <w:szCs w:val="32"/>
        </w:rPr>
        <w:t>.</w:t>
      </w:r>
      <w:r w:rsidRPr="00836C73">
        <w:rPr>
          <w:rStyle w:val="a7"/>
          <w:rFonts w:ascii="楷体" w:eastAsia="楷体" w:hAnsi="楷体" w:hint="eastAsia"/>
          <w:color w:val="000000" w:themeColor="text1"/>
          <w:sz w:val="32"/>
          <w:szCs w:val="32"/>
        </w:rPr>
        <w:t>保证食品运输、贮存环境</w:t>
      </w:r>
    </w:p>
    <w:p w:rsidR="00AE19AF" w:rsidRPr="00836C73" w:rsidRDefault="00985782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食品经营者应保证运输和装卸食品的容器、工具和设备清洁、无害，保证食品的经营环境和储存环境等符合与食品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 w:rsidR="00AE19AF" w:rsidRPr="00836C73" w:rsidRDefault="00985782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7"/>
          <w:rFonts w:ascii="楷体" w:eastAsia="楷体" w:hAnsi="楷体"/>
          <w:color w:val="000000" w:themeColor="text1"/>
          <w:sz w:val="32"/>
          <w:szCs w:val="32"/>
        </w:rPr>
      </w:pPr>
      <w:r w:rsidRPr="00836C73">
        <w:rPr>
          <w:rStyle w:val="a7"/>
          <w:rFonts w:ascii="楷体" w:eastAsia="楷体" w:hAnsi="楷体" w:hint="eastAsia"/>
          <w:color w:val="000000" w:themeColor="text1"/>
          <w:sz w:val="32"/>
          <w:szCs w:val="32"/>
        </w:rPr>
        <w:t>3</w:t>
      </w:r>
      <w:r w:rsidR="00020912">
        <w:rPr>
          <w:rStyle w:val="a7"/>
          <w:rFonts w:ascii="楷体" w:eastAsia="楷体" w:hAnsi="楷体" w:hint="eastAsia"/>
          <w:color w:val="000000" w:themeColor="text1"/>
          <w:sz w:val="32"/>
          <w:szCs w:val="32"/>
        </w:rPr>
        <w:t>.</w:t>
      </w:r>
      <w:r w:rsidRPr="00836C73">
        <w:rPr>
          <w:rStyle w:val="a7"/>
          <w:rFonts w:ascii="楷体" w:eastAsia="楷体" w:hAnsi="楷体" w:hint="eastAsia"/>
          <w:color w:val="000000" w:themeColor="text1"/>
          <w:sz w:val="32"/>
          <w:szCs w:val="32"/>
        </w:rPr>
        <w:t>加强食品从业人员培训</w:t>
      </w:r>
    </w:p>
    <w:p w:rsidR="00AE19AF" w:rsidRPr="00836C73" w:rsidRDefault="00985782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食品经营者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应建立食品相关岗位的培训制度，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加强日常监管及培训，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对食品</w:t>
      </w:r>
      <w:r w:rsidRPr="00836C73">
        <w:rPr>
          <w:rFonts w:ascii="仿宋" w:eastAsia="仿宋" w:hAnsi="仿宋" w:hint="eastAsia"/>
          <w:color w:val="000000" w:themeColor="text1"/>
          <w:sz w:val="32"/>
          <w:szCs w:val="32"/>
        </w:rPr>
        <w:t>销售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人员以及相关岗位的从业人员进行相应的食品安全知识培训</w:t>
      </w:r>
      <w:r w:rsidRPr="00836C73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Pr="00836C73">
        <w:rPr>
          <w:rFonts w:ascii="仿宋" w:eastAsia="仿宋" w:hAnsi="仿宋" w:cs="仿宋" w:hint="eastAsia"/>
          <w:snapToGrid w:val="0"/>
          <w:color w:val="000000" w:themeColor="text1"/>
          <w:sz w:val="32"/>
        </w:rPr>
        <w:t>提高从业人员的食品安全意识和维护食品安全能力</w:t>
      </w:r>
      <w:r w:rsidRPr="00836C73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E19AF" w:rsidRPr="00836C73" w:rsidRDefault="00AE19AF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AE19AF" w:rsidRPr="00836C73" w:rsidSect="00AE1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CB" w:rsidRDefault="004E14CB" w:rsidP="00F11EE8">
      <w:r>
        <w:separator/>
      </w:r>
    </w:p>
  </w:endnote>
  <w:endnote w:type="continuationSeparator" w:id="0">
    <w:p w:rsidR="004E14CB" w:rsidRDefault="004E14CB" w:rsidP="00F1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CB" w:rsidRDefault="004E14CB" w:rsidP="00F11EE8">
      <w:r>
        <w:separator/>
      </w:r>
    </w:p>
  </w:footnote>
  <w:footnote w:type="continuationSeparator" w:id="0">
    <w:p w:rsidR="004E14CB" w:rsidRDefault="004E14CB" w:rsidP="00F11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D71"/>
    <w:rsid w:val="00004DB3"/>
    <w:rsid w:val="0001248C"/>
    <w:rsid w:val="00020912"/>
    <w:rsid w:val="00020EAA"/>
    <w:rsid w:val="00023D16"/>
    <w:rsid w:val="000276EE"/>
    <w:rsid w:val="00030F39"/>
    <w:rsid w:val="00032538"/>
    <w:rsid w:val="000338FA"/>
    <w:rsid w:val="00035BF4"/>
    <w:rsid w:val="00040D71"/>
    <w:rsid w:val="00044B2D"/>
    <w:rsid w:val="0004778C"/>
    <w:rsid w:val="000518A7"/>
    <w:rsid w:val="00071380"/>
    <w:rsid w:val="00073BFA"/>
    <w:rsid w:val="00074F6A"/>
    <w:rsid w:val="000821AB"/>
    <w:rsid w:val="000B08E7"/>
    <w:rsid w:val="000B609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4CAA"/>
    <w:rsid w:val="00160E55"/>
    <w:rsid w:val="001618B6"/>
    <w:rsid w:val="0017157D"/>
    <w:rsid w:val="0019148B"/>
    <w:rsid w:val="001A2AAA"/>
    <w:rsid w:val="001B4BBC"/>
    <w:rsid w:val="001D639F"/>
    <w:rsid w:val="001F221F"/>
    <w:rsid w:val="001F4A92"/>
    <w:rsid w:val="00213E7B"/>
    <w:rsid w:val="002178AC"/>
    <w:rsid w:val="002200B2"/>
    <w:rsid w:val="00221768"/>
    <w:rsid w:val="00221DA8"/>
    <w:rsid w:val="00231176"/>
    <w:rsid w:val="002349E5"/>
    <w:rsid w:val="002422C5"/>
    <w:rsid w:val="00242A69"/>
    <w:rsid w:val="0026230D"/>
    <w:rsid w:val="002671C8"/>
    <w:rsid w:val="00277FEA"/>
    <w:rsid w:val="00286E02"/>
    <w:rsid w:val="00287612"/>
    <w:rsid w:val="002940D0"/>
    <w:rsid w:val="0029681F"/>
    <w:rsid w:val="002A10E0"/>
    <w:rsid w:val="002A4120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217C2"/>
    <w:rsid w:val="00332A02"/>
    <w:rsid w:val="003439FD"/>
    <w:rsid w:val="00344CD6"/>
    <w:rsid w:val="0036094B"/>
    <w:rsid w:val="0036358C"/>
    <w:rsid w:val="00374D69"/>
    <w:rsid w:val="003A105E"/>
    <w:rsid w:val="003A7456"/>
    <w:rsid w:val="003B285F"/>
    <w:rsid w:val="003E3863"/>
    <w:rsid w:val="003E4CCE"/>
    <w:rsid w:val="003E7BD4"/>
    <w:rsid w:val="003F2E05"/>
    <w:rsid w:val="003F4780"/>
    <w:rsid w:val="00404951"/>
    <w:rsid w:val="00407D6D"/>
    <w:rsid w:val="004173F6"/>
    <w:rsid w:val="00423F19"/>
    <w:rsid w:val="004361DC"/>
    <w:rsid w:val="004432E7"/>
    <w:rsid w:val="00445FF9"/>
    <w:rsid w:val="00465B94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D1007"/>
    <w:rsid w:val="004E14CB"/>
    <w:rsid w:val="004E4404"/>
    <w:rsid w:val="004F6ABF"/>
    <w:rsid w:val="005023CC"/>
    <w:rsid w:val="00502813"/>
    <w:rsid w:val="00512C0F"/>
    <w:rsid w:val="00514C4D"/>
    <w:rsid w:val="005154D3"/>
    <w:rsid w:val="00521A4C"/>
    <w:rsid w:val="00524190"/>
    <w:rsid w:val="005263C4"/>
    <w:rsid w:val="00527A95"/>
    <w:rsid w:val="00540617"/>
    <w:rsid w:val="00544656"/>
    <w:rsid w:val="005656E0"/>
    <w:rsid w:val="005713C7"/>
    <w:rsid w:val="0057278A"/>
    <w:rsid w:val="00575E5E"/>
    <w:rsid w:val="0058383A"/>
    <w:rsid w:val="00584DA5"/>
    <w:rsid w:val="00591E9F"/>
    <w:rsid w:val="005921CC"/>
    <w:rsid w:val="00592261"/>
    <w:rsid w:val="005975B9"/>
    <w:rsid w:val="005B6012"/>
    <w:rsid w:val="005C0AD5"/>
    <w:rsid w:val="005C4414"/>
    <w:rsid w:val="005E2AE0"/>
    <w:rsid w:val="005E69BF"/>
    <w:rsid w:val="005F3690"/>
    <w:rsid w:val="005F6703"/>
    <w:rsid w:val="00601A31"/>
    <w:rsid w:val="00602933"/>
    <w:rsid w:val="006045FB"/>
    <w:rsid w:val="00604E8B"/>
    <w:rsid w:val="006122F4"/>
    <w:rsid w:val="00615CA4"/>
    <w:rsid w:val="0065490E"/>
    <w:rsid w:val="0065687B"/>
    <w:rsid w:val="00676A61"/>
    <w:rsid w:val="00677041"/>
    <w:rsid w:val="006843EF"/>
    <w:rsid w:val="0068726E"/>
    <w:rsid w:val="00694B5D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726FB"/>
    <w:rsid w:val="00782644"/>
    <w:rsid w:val="00790B1D"/>
    <w:rsid w:val="00793F65"/>
    <w:rsid w:val="007A04C2"/>
    <w:rsid w:val="007A4823"/>
    <w:rsid w:val="007A4B38"/>
    <w:rsid w:val="007A4C53"/>
    <w:rsid w:val="007A76AD"/>
    <w:rsid w:val="007B2714"/>
    <w:rsid w:val="007B4E41"/>
    <w:rsid w:val="007B6B96"/>
    <w:rsid w:val="007C05DF"/>
    <w:rsid w:val="007C05E7"/>
    <w:rsid w:val="007C6B7A"/>
    <w:rsid w:val="007D07B1"/>
    <w:rsid w:val="007D0CE1"/>
    <w:rsid w:val="007D3698"/>
    <w:rsid w:val="007E7EDB"/>
    <w:rsid w:val="007F407E"/>
    <w:rsid w:val="007F56B0"/>
    <w:rsid w:val="007F5CB0"/>
    <w:rsid w:val="007F6A0E"/>
    <w:rsid w:val="00803608"/>
    <w:rsid w:val="00810281"/>
    <w:rsid w:val="00810A1F"/>
    <w:rsid w:val="008156E7"/>
    <w:rsid w:val="008179CB"/>
    <w:rsid w:val="00821662"/>
    <w:rsid w:val="0083040C"/>
    <w:rsid w:val="008319CA"/>
    <w:rsid w:val="00836C73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77764"/>
    <w:rsid w:val="008919B2"/>
    <w:rsid w:val="00895285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BE7"/>
    <w:rsid w:val="00901BA9"/>
    <w:rsid w:val="00905A3D"/>
    <w:rsid w:val="00940D38"/>
    <w:rsid w:val="00970598"/>
    <w:rsid w:val="00973735"/>
    <w:rsid w:val="00976894"/>
    <w:rsid w:val="00980983"/>
    <w:rsid w:val="00981703"/>
    <w:rsid w:val="00984B96"/>
    <w:rsid w:val="00985782"/>
    <w:rsid w:val="009863AC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33132"/>
    <w:rsid w:val="00A41F8E"/>
    <w:rsid w:val="00A44DDA"/>
    <w:rsid w:val="00A45171"/>
    <w:rsid w:val="00A46DA1"/>
    <w:rsid w:val="00A63260"/>
    <w:rsid w:val="00A64362"/>
    <w:rsid w:val="00A66D3F"/>
    <w:rsid w:val="00A671ED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19AF"/>
    <w:rsid w:val="00AE1E94"/>
    <w:rsid w:val="00AE6354"/>
    <w:rsid w:val="00AE756C"/>
    <w:rsid w:val="00B0198F"/>
    <w:rsid w:val="00B144C6"/>
    <w:rsid w:val="00B3155E"/>
    <w:rsid w:val="00B3617A"/>
    <w:rsid w:val="00B450DB"/>
    <w:rsid w:val="00B638E5"/>
    <w:rsid w:val="00B64ACD"/>
    <w:rsid w:val="00B657C9"/>
    <w:rsid w:val="00B74E1F"/>
    <w:rsid w:val="00B75344"/>
    <w:rsid w:val="00B84041"/>
    <w:rsid w:val="00B85427"/>
    <w:rsid w:val="00B979A2"/>
    <w:rsid w:val="00BA32AF"/>
    <w:rsid w:val="00BC13BC"/>
    <w:rsid w:val="00BC2C60"/>
    <w:rsid w:val="00BC393B"/>
    <w:rsid w:val="00BC4F96"/>
    <w:rsid w:val="00BC662E"/>
    <w:rsid w:val="00BE6494"/>
    <w:rsid w:val="00C02926"/>
    <w:rsid w:val="00C20926"/>
    <w:rsid w:val="00C2191F"/>
    <w:rsid w:val="00C219D8"/>
    <w:rsid w:val="00C2298B"/>
    <w:rsid w:val="00C416DC"/>
    <w:rsid w:val="00C532DF"/>
    <w:rsid w:val="00C56590"/>
    <w:rsid w:val="00C57CE5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E594F"/>
    <w:rsid w:val="00CF1B62"/>
    <w:rsid w:val="00CF1C6C"/>
    <w:rsid w:val="00CF543D"/>
    <w:rsid w:val="00D100E5"/>
    <w:rsid w:val="00D16F6F"/>
    <w:rsid w:val="00D1798E"/>
    <w:rsid w:val="00D26DFF"/>
    <w:rsid w:val="00D33EE3"/>
    <w:rsid w:val="00D44900"/>
    <w:rsid w:val="00D473CF"/>
    <w:rsid w:val="00D522FB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A18EA"/>
    <w:rsid w:val="00DA7D53"/>
    <w:rsid w:val="00DC13BB"/>
    <w:rsid w:val="00DC62EC"/>
    <w:rsid w:val="00DC6BDE"/>
    <w:rsid w:val="00DC7BB8"/>
    <w:rsid w:val="00DD32AC"/>
    <w:rsid w:val="00DD5A81"/>
    <w:rsid w:val="00DE2E9C"/>
    <w:rsid w:val="00E04892"/>
    <w:rsid w:val="00E07CFF"/>
    <w:rsid w:val="00E16D3B"/>
    <w:rsid w:val="00E20FBC"/>
    <w:rsid w:val="00E305C3"/>
    <w:rsid w:val="00E44B2E"/>
    <w:rsid w:val="00E66FE2"/>
    <w:rsid w:val="00E71733"/>
    <w:rsid w:val="00E909C2"/>
    <w:rsid w:val="00E95597"/>
    <w:rsid w:val="00EA019F"/>
    <w:rsid w:val="00EB4E58"/>
    <w:rsid w:val="00EB79C5"/>
    <w:rsid w:val="00EC0ECC"/>
    <w:rsid w:val="00EC277A"/>
    <w:rsid w:val="00ED1A68"/>
    <w:rsid w:val="00ED468F"/>
    <w:rsid w:val="00ED515D"/>
    <w:rsid w:val="00EF4553"/>
    <w:rsid w:val="00EF5E8B"/>
    <w:rsid w:val="00EF7515"/>
    <w:rsid w:val="00F022B5"/>
    <w:rsid w:val="00F11EE8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0FF1354"/>
    <w:rsid w:val="0432664F"/>
    <w:rsid w:val="07D80F98"/>
    <w:rsid w:val="17A31B54"/>
    <w:rsid w:val="1EB22B9E"/>
    <w:rsid w:val="2098075B"/>
    <w:rsid w:val="22414A06"/>
    <w:rsid w:val="34676C84"/>
    <w:rsid w:val="36E62DB9"/>
    <w:rsid w:val="3CAC2FC7"/>
    <w:rsid w:val="44925C83"/>
    <w:rsid w:val="45F36327"/>
    <w:rsid w:val="4F072D89"/>
    <w:rsid w:val="502E2718"/>
    <w:rsid w:val="7B1A31DE"/>
    <w:rsid w:val="7DC8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E1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1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E1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E1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E19AF"/>
    <w:rPr>
      <w:b/>
      <w:bCs/>
    </w:rPr>
  </w:style>
  <w:style w:type="character" w:styleId="a8">
    <w:name w:val="Emphasis"/>
    <w:basedOn w:val="a0"/>
    <w:uiPriority w:val="20"/>
    <w:qFormat/>
    <w:rsid w:val="00AE19AF"/>
    <w:rPr>
      <w:i/>
      <w:iCs/>
    </w:rPr>
  </w:style>
  <w:style w:type="character" w:customStyle="1" w:styleId="Char1">
    <w:name w:val="页眉 Char"/>
    <w:basedOn w:val="a0"/>
    <w:link w:val="a5"/>
    <w:uiPriority w:val="99"/>
    <w:qFormat/>
    <w:rsid w:val="00AE19A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E19AF"/>
    <w:rPr>
      <w:sz w:val="18"/>
      <w:szCs w:val="18"/>
    </w:rPr>
  </w:style>
  <w:style w:type="paragraph" w:styleId="a9">
    <w:name w:val="List Paragraph"/>
    <w:basedOn w:val="a"/>
    <w:uiPriority w:val="34"/>
    <w:qFormat/>
    <w:rsid w:val="00AE19A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E19AF"/>
    <w:rPr>
      <w:sz w:val="18"/>
      <w:szCs w:val="18"/>
    </w:rPr>
  </w:style>
  <w:style w:type="paragraph" w:customStyle="1" w:styleId="Default">
    <w:name w:val="Default"/>
    <w:uiPriority w:val="99"/>
    <w:qFormat/>
    <w:rsid w:val="00AE19A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rsid w:val="00AE19A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foodmate.net/2760-2014/additives-product-catid-15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5168C-7572-4D3B-8CBD-7868C257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287</Words>
  <Characters>1642</Characters>
  <Application>Microsoft Office Word</Application>
  <DocSecurity>0</DocSecurity>
  <Lines>13</Lines>
  <Paragraphs>3</Paragraphs>
  <ScaleCrop>false</ScaleCrop>
  <Company>SMQ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李俊妮</cp:lastModifiedBy>
  <cp:revision>193</cp:revision>
  <dcterms:created xsi:type="dcterms:W3CDTF">2018-04-04T05:56:00Z</dcterms:created>
  <dcterms:modified xsi:type="dcterms:W3CDTF">2019-10-15T10:15:00Z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