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Arial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 w:themeColor="text1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color w:val="000000" w:themeColor="text1"/>
          <w:spacing w:val="-12"/>
          <w:sz w:val="44"/>
          <w:szCs w:val="44"/>
        </w:rPr>
      </w:pPr>
      <w:r>
        <w:rPr>
          <w:rFonts w:hint="eastAsia" w:eastAsia="方正小标宋简体"/>
          <w:color w:val="000000" w:themeColor="text1"/>
          <w:spacing w:val="-12"/>
          <w:sz w:val="44"/>
          <w:szCs w:val="44"/>
        </w:rPr>
        <w:t>部分不合格项目小知识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一、不合格项目小知识</w:t>
      </w:r>
    </w:p>
    <w:p>
      <w:pPr>
        <w:spacing w:line="560" w:lineRule="exact"/>
        <w:ind w:firstLine="643" w:firstLineChars="200"/>
        <w:rPr>
          <w:rFonts w:ascii="楷体" w:hAnsi="楷体" w:eastAsia="楷体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（一）</w:t>
      </w:r>
      <w:r>
        <w:rPr>
          <w:rFonts w:hint="eastAsia" w:ascii="楷体" w:hAnsi="楷体" w:eastAsia="楷体" w:cs="宋体"/>
          <w:b/>
          <w:color w:val="000000" w:themeColor="text1"/>
          <w:kern w:val="0"/>
          <w:sz w:val="32"/>
          <w:szCs w:val="32"/>
        </w:rPr>
        <w:t>蛋白质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人体的生长、</w:t>
      </w:r>
      <w:r>
        <w:fldChar w:fldCharType="begin"/>
      </w:r>
      <w:r>
        <w:instrText xml:space="preserve"> HYPERLINK "https://baike.baidu.com/item/%E5%8F%91%E8%82%B2" \t "https://baike.baidu.com/item/%E8%9B%8B%E7%99%BD%E8%B4%A8/_blank"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发育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"https://baike.baidu.com/item/%E9%81%97%E4%BC%A0" \t "https://baike.baidu.com/item/%E8%9B%8B%E7%99%BD%E8%B4%A8/_blank" </w:instrText>
      </w:r>
      <w:r>
        <w:fldChar w:fldCharType="separate"/>
      </w:r>
      <w:r>
        <w:rPr>
          <w:rFonts w:ascii="仿宋" w:hAnsi="仿宋" w:eastAsia="仿宋"/>
          <w:sz w:val="32"/>
          <w:szCs w:val="32"/>
        </w:rPr>
        <w:t>遗传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等一切生命活动都离不开蛋白质。《植物蛋白饮料 椰子汁及复原椰子汁》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QB/T 2300-2006</w:t>
      </w:r>
      <w:r>
        <w:rPr>
          <w:rFonts w:hint="eastAsia" w:ascii="仿宋" w:hAnsi="仿宋" w:eastAsia="仿宋"/>
          <w:sz w:val="32"/>
          <w:szCs w:val="32"/>
        </w:rPr>
        <w:t>）中规定，样品</w:t>
      </w:r>
      <w:r>
        <w:rPr>
          <w:rFonts w:ascii="仿宋" w:hAnsi="仿宋" w:eastAsia="仿宋"/>
          <w:sz w:val="32"/>
          <w:szCs w:val="32"/>
        </w:rPr>
        <w:t>的蛋白质</w:t>
      </w:r>
      <w:r>
        <w:rPr>
          <w:rFonts w:hint="eastAsia" w:ascii="仿宋" w:hAnsi="仿宋" w:eastAsia="仿宋"/>
          <w:sz w:val="32"/>
          <w:szCs w:val="32"/>
        </w:rPr>
        <w:t>含量</w:t>
      </w:r>
      <w:r>
        <w:rPr>
          <w:rFonts w:ascii="仿宋" w:hAnsi="仿宋" w:eastAsia="仿宋"/>
          <w:sz w:val="32"/>
          <w:szCs w:val="32"/>
        </w:rPr>
        <w:t>应</w:t>
      </w:r>
      <w:r>
        <w:rPr>
          <w:rFonts w:hint="eastAsia" w:ascii="仿宋" w:hAnsi="仿宋" w:eastAsia="仿宋"/>
          <w:sz w:val="32"/>
          <w:szCs w:val="32"/>
        </w:rPr>
        <w:t>≥0.5g/100g。饮料中蛋白质</w:t>
      </w:r>
      <w:r>
        <w:rPr>
          <w:rFonts w:ascii="仿宋" w:hAnsi="仿宋" w:eastAsia="仿宋"/>
          <w:sz w:val="32"/>
          <w:szCs w:val="32"/>
        </w:rPr>
        <w:t>不合格</w:t>
      </w:r>
      <w:r>
        <w:rPr>
          <w:rFonts w:hint="eastAsia" w:ascii="仿宋" w:hAnsi="仿宋" w:eastAsia="仿宋"/>
          <w:sz w:val="32"/>
          <w:szCs w:val="32"/>
        </w:rPr>
        <w:t>一般</w:t>
      </w:r>
      <w:r>
        <w:rPr>
          <w:rFonts w:ascii="仿宋" w:hAnsi="仿宋" w:eastAsia="仿宋"/>
          <w:sz w:val="32"/>
          <w:szCs w:val="32"/>
        </w:rPr>
        <w:t>不会</w:t>
      </w:r>
      <w:r>
        <w:rPr>
          <w:rFonts w:hint="eastAsia" w:ascii="仿宋" w:hAnsi="仿宋" w:eastAsia="仿宋"/>
          <w:sz w:val="32"/>
          <w:szCs w:val="32"/>
        </w:rPr>
        <w:t>造成</w:t>
      </w:r>
      <w:r>
        <w:rPr>
          <w:rFonts w:ascii="仿宋" w:hAnsi="仿宋" w:eastAsia="仿宋"/>
          <w:sz w:val="32"/>
          <w:szCs w:val="32"/>
        </w:rPr>
        <w:t>食品安全风险，但一定程度上反映了产品的内在质量存在不足</w:t>
      </w:r>
      <w:r>
        <w:rPr>
          <w:rFonts w:hint="eastAsia" w:ascii="仿宋" w:hAnsi="仿宋" w:eastAsia="仿宋"/>
          <w:sz w:val="32"/>
          <w:szCs w:val="32"/>
        </w:rPr>
        <w:t>，表明</w:t>
      </w:r>
      <w:r>
        <w:rPr>
          <w:rFonts w:ascii="仿宋" w:hAnsi="仿宋" w:eastAsia="仿宋"/>
          <w:sz w:val="32"/>
          <w:szCs w:val="32"/>
        </w:rPr>
        <w:t>生产企业</w:t>
      </w:r>
      <w:r>
        <w:rPr>
          <w:rFonts w:hint="eastAsia" w:ascii="仿宋" w:hAnsi="仿宋" w:eastAsia="仿宋"/>
          <w:sz w:val="32"/>
          <w:szCs w:val="32"/>
        </w:rPr>
        <w:t>未</w:t>
      </w:r>
      <w:r>
        <w:rPr>
          <w:rFonts w:ascii="仿宋" w:hAnsi="仿宋" w:eastAsia="仿宋"/>
          <w:sz w:val="32"/>
          <w:szCs w:val="32"/>
        </w:rPr>
        <w:t>按标准组织生产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生产工艺控制不严，也有可能是部分企业</w:t>
      </w:r>
      <w:r>
        <w:rPr>
          <w:rFonts w:ascii="仿宋" w:hAnsi="仿宋" w:eastAsia="仿宋"/>
          <w:color w:val="FF0000"/>
          <w:sz w:val="32"/>
          <w:szCs w:val="32"/>
        </w:rPr>
        <w:t>为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了</w:t>
      </w:r>
      <w:r>
        <w:rPr>
          <w:rFonts w:ascii="仿宋" w:hAnsi="仿宋" w:eastAsia="仿宋"/>
          <w:sz w:val="32"/>
          <w:szCs w:val="32"/>
        </w:rPr>
        <w:t>降低生产成本，</w:t>
      </w:r>
      <w:r>
        <w:rPr>
          <w:rFonts w:hint="eastAsia" w:ascii="仿宋" w:hAnsi="仿宋" w:eastAsia="仿宋"/>
          <w:sz w:val="32"/>
          <w:szCs w:val="32"/>
        </w:rPr>
        <w:t>掺伪、掺假、</w:t>
      </w:r>
      <w:r>
        <w:rPr>
          <w:rFonts w:ascii="仿宋" w:hAnsi="仿宋" w:eastAsia="仿宋"/>
          <w:sz w:val="32"/>
          <w:szCs w:val="32"/>
        </w:rPr>
        <w:t>偷工减料所致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" w:hAnsi="楷体" w:eastAsia="楷体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Arial"/>
          <w:b/>
          <w:color w:val="000000" w:themeColor="text1"/>
          <w:sz w:val="32"/>
          <w:szCs w:val="32"/>
          <w:shd w:val="clear" w:color="auto" w:fill="FFFFFF"/>
        </w:rPr>
        <w:t>（二）过氧化值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过氧化值主要反映食品中油脂是否氧化变质。随着油脂氧化，过氧化值会逐步升高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《食品安全国家标准 膨化食品》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GB 17401-2014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color w:val="000000" w:themeColor="text1"/>
          <w:sz w:val="32"/>
          <w:szCs w:val="32"/>
        </w:rPr>
        <w:t>中规定，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膨化食品</w:t>
      </w:r>
      <w:r>
        <w:rPr>
          <w:rFonts w:ascii="仿宋" w:hAnsi="仿宋" w:eastAsia="仿宋"/>
          <w:color w:val="FF0000"/>
          <w:sz w:val="32"/>
          <w:szCs w:val="32"/>
        </w:rPr>
        <w:t>的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过氧化值(以脂肪计)</w:t>
      </w:r>
      <w:r>
        <w:rPr>
          <w:rFonts w:ascii="仿宋" w:hAnsi="仿宋" w:eastAsia="仿宋"/>
          <w:color w:val="000000" w:themeColor="text1"/>
          <w:sz w:val="32"/>
          <w:szCs w:val="32"/>
        </w:rPr>
        <w:t>应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≤</w:t>
      </w:r>
      <w:r>
        <w:rPr>
          <w:rFonts w:ascii="仿宋" w:hAnsi="仿宋" w:eastAsia="仿宋"/>
          <w:color w:val="000000" w:themeColor="text1"/>
          <w:sz w:val="32"/>
          <w:szCs w:val="32"/>
        </w:rPr>
        <w:t>0.25g/100g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</w:t>
      </w:r>
      <w:r>
        <w:rPr>
          <w:rFonts w:ascii="仿宋" w:hAnsi="仿宋" w:eastAsia="仿宋"/>
          <w:color w:val="000000" w:themeColor="text1"/>
          <w:sz w:val="32"/>
          <w:szCs w:val="32"/>
        </w:rPr>
        <w:t>过氧化值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过高</w:t>
      </w:r>
      <w:r>
        <w:rPr>
          <w:rFonts w:hint="eastAsia" w:ascii="仿宋" w:hAnsi="仿宋" w:eastAsia="仿宋"/>
          <w:color w:val="FF0000"/>
          <w:sz w:val="32"/>
          <w:szCs w:val="32"/>
        </w:rPr>
        <w:t>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导致肠胃不适、腹泻等症状。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二、建议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根据流通环节抽检不合格项目，建议食品经营企业：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left="708"/>
        <w:jc w:val="both"/>
        <w:rPr>
          <w:rStyle w:val="8"/>
          <w:rFonts w:ascii="楷体" w:hAnsi="楷体" w:eastAsia="楷体"/>
          <w:color w:val="2B2B2B"/>
          <w:sz w:val="32"/>
          <w:szCs w:val="32"/>
        </w:rPr>
      </w:pPr>
      <w:r>
        <w:rPr>
          <w:rStyle w:val="8"/>
          <w:rFonts w:hint="eastAsia" w:ascii="楷体" w:hAnsi="楷体" w:eastAsia="楷体"/>
          <w:color w:val="2B2B2B"/>
          <w:sz w:val="32"/>
          <w:szCs w:val="32"/>
        </w:rPr>
        <w:t>（一）严格把关食品质量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经营者应当建立食品进货查验记录和索证索票制度，如实记录食品的生产批号、保质期、供货者名称及联系方式、进货日期等内容，并查验供货者的许可证和包含必要检测项目的食品合格证明文件，确保采购的食品和原辅料</w:t>
      </w:r>
      <w:r>
        <w:rPr>
          <w:rFonts w:hint="eastAsia" w:ascii="仿宋" w:hAnsi="仿宋" w:eastAsia="仿宋"/>
          <w:color w:val="2B2B2B"/>
          <w:sz w:val="32"/>
          <w:szCs w:val="32"/>
        </w:rPr>
        <w:t>符合标准的有关规定和要求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Style w:val="8"/>
          <w:rFonts w:ascii="楷体" w:hAnsi="楷体" w:eastAsia="楷体"/>
          <w:color w:val="2B2B2B"/>
          <w:sz w:val="32"/>
          <w:szCs w:val="32"/>
        </w:rPr>
      </w:pPr>
      <w:r>
        <w:rPr>
          <w:rStyle w:val="8"/>
          <w:rFonts w:hint="eastAsia" w:ascii="楷体" w:hAnsi="楷体" w:eastAsia="楷体"/>
          <w:color w:val="2B2B2B"/>
          <w:sz w:val="32"/>
          <w:szCs w:val="32"/>
        </w:rPr>
        <w:t>（二）保证食品运输、贮存环境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食品经营者应保证运输和装卸食品的容器、工具和设备清洁、无害，保证食品的经营环境和储存环境等符合</w:t>
      </w:r>
      <w:r>
        <w:rPr>
          <w:rFonts w:hint="eastAsia" w:ascii="仿宋" w:hAnsi="仿宋" w:eastAsia="仿宋"/>
          <w:color w:val="FF0000"/>
          <w:sz w:val="32"/>
          <w:szCs w:val="32"/>
        </w:rPr>
        <w:t>食</w:t>
      </w:r>
      <w:r>
        <w:rPr>
          <w:rFonts w:hint="eastAsia" w:ascii="仿宋" w:hAnsi="仿宋" w:eastAsia="仿宋"/>
          <w:sz w:val="32"/>
          <w:szCs w:val="32"/>
        </w:rPr>
        <w:t>品所需的环境，并及时清理变质、超过保质期及其他不符合标准要求的食品；针对特殊贮存要求的食品，食品经营者在运输、贮藏时应当符合食品安全所需要的温度、空间隔离等特殊要求，防止交叉污染。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Style w:val="8"/>
          <w:rFonts w:ascii="楷体" w:hAnsi="楷体" w:eastAsia="楷体"/>
          <w:color w:val="2B2B2B"/>
          <w:sz w:val="32"/>
          <w:szCs w:val="32"/>
        </w:rPr>
      </w:pPr>
      <w:r>
        <w:rPr>
          <w:rStyle w:val="8"/>
          <w:rFonts w:hint="eastAsia" w:ascii="楷体" w:hAnsi="楷体" w:eastAsia="楷体"/>
          <w:color w:val="2B2B2B"/>
          <w:sz w:val="32"/>
          <w:szCs w:val="32"/>
        </w:rPr>
        <w:t>（三）加强食品从业人员培训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800" w:firstLineChars="25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食品经营者</w:t>
      </w:r>
      <w:r>
        <w:rPr>
          <w:rFonts w:ascii="仿宋" w:hAnsi="仿宋" w:eastAsia="仿宋"/>
          <w:sz w:val="32"/>
          <w:szCs w:val="32"/>
        </w:rPr>
        <w:t>应建立食品相关岗位的培训制度，</w:t>
      </w:r>
      <w:r>
        <w:rPr>
          <w:rFonts w:hint="eastAsia" w:ascii="仿宋" w:hAnsi="仿宋" w:eastAsia="仿宋"/>
          <w:sz w:val="32"/>
          <w:szCs w:val="32"/>
        </w:rPr>
        <w:t>加强日常监管及培训，</w:t>
      </w:r>
      <w:r>
        <w:rPr>
          <w:rFonts w:ascii="仿宋" w:hAnsi="仿宋" w:eastAsia="仿宋"/>
          <w:sz w:val="32"/>
          <w:szCs w:val="32"/>
        </w:rPr>
        <w:t>对食品</w:t>
      </w:r>
      <w:r>
        <w:rPr>
          <w:rFonts w:hint="eastAsia" w:ascii="仿宋" w:hAnsi="仿宋" w:eastAsia="仿宋"/>
          <w:sz w:val="32"/>
          <w:szCs w:val="32"/>
        </w:rPr>
        <w:t>销售</w:t>
      </w:r>
      <w:r>
        <w:rPr>
          <w:rFonts w:ascii="仿宋" w:hAnsi="仿宋" w:eastAsia="仿宋"/>
          <w:sz w:val="32"/>
          <w:szCs w:val="32"/>
        </w:rPr>
        <w:t>人员以及相关岗位的从业人员进行相应的食品安全知识培训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napToGrid w:val="0"/>
          <w:sz w:val="32"/>
        </w:rPr>
        <w:t>提高从业人员的食品安全意识和维护食品安全能力</w:t>
      </w:r>
      <w:r>
        <w:rPr>
          <w:rFonts w:ascii="仿宋" w:hAnsi="仿宋" w:eastAsia="仿宋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0D71"/>
    <w:rsid w:val="00004DB3"/>
    <w:rsid w:val="0001248C"/>
    <w:rsid w:val="00020EAA"/>
    <w:rsid w:val="00023D16"/>
    <w:rsid w:val="000276EE"/>
    <w:rsid w:val="00030F39"/>
    <w:rsid w:val="00032538"/>
    <w:rsid w:val="000338FA"/>
    <w:rsid w:val="00035BF4"/>
    <w:rsid w:val="00040D71"/>
    <w:rsid w:val="00044B2D"/>
    <w:rsid w:val="0004778C"/>
    <w:rsid w:val="000518A7"/>
    <w:rsid w:val="00071380"/>
    <w:rsid w:val="000738DF"/>
    <w:rsid w:val="00073BFA"/>
    <w:rsid w:val="00074F6A"/>
    <w:rsid w:val="000821AB"/>
    <w:rsid w:val="000B08E7"/>
    <w:rsid w:val="000B6093"/>
    <w:rsid w:val="000C3343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72D9"/>
    <w:rsid w:val="0014337A"/>
    <w:rsid w:val="001517B0"/>
    <w:rsid w:val="00152D13"/>
    <w:rsid w:val="00154CAA"/>
    <w:rsid w:val="00160E55"/>
    <w:rsid w:val="001618B6"/>
    <w:rsid w:val="0017157D"/>
    <w:rsid w:val="0019148B"/>
    <w:rsid w:val="001A2AAA"/>
    <w:rsid w:val="001B4BBC"/>
    <w:rsid w:val="001D639F"/>
    <w:rsid w:val="001F221F"/>
    <w:rsid w:val="001F4A92"/>
    <w:rsid w:val="00213E7B"/>
    <w:rsid w:val="002178AC"/>
    <w:rsid w:val="002200B2"/>
    <w:rsid w:val="00221768"/>
    <w:rsid w:val="00221DA8"/>
    <w:rsid w:val="00231176"/>
    <w:rsid w:val="002349E5"/>
    <w:rsid w:val="00241DB9"/>
    <w:rsid w:val="00242A69"/>
    <w:rsid w:val="0026230D"/>
    <w:rsid w:val="002671C8"/>
    <w:rsid w:val="00277FEA"/>
    <w:rsid w:val="00286E02"/>
    <w:rsid w:val="00287612"/>
    <w:rsid w:val="002940D0"/>
    <w:rsid w:val="0029681F"/>
    <w:rsid w:val="002A10E0"/>
    <w:rsid w:val="002A4120"/>
    <w:rsid w:val="002A5ABF"/>
    <w:rsid w:val="002B5671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217C2"/>
    <w:rsid w:val="00332A02"/>
    <w:rsid w:val="003439FD"/>
    <w:rsid w:val="00344CD6"/>
    <w:rsid w:val="0036094B"/>
    <w:rsid w:val="0036358C"/>
    <w:rsid w:val="00374D69"/>
    <w:rsid w:val="003910EA"/>
    <w:rsid w:val="003A105E"/>
    <w:rsid w:val="003A7456"/>
    <w:rsid w:val="003B285F"/>
    <w:rsid w:val="003E3863"/>
    <w:rsid w:val="003E4CCE"/>
    <w:rsid w:val="003E7BD4"/>
    <w:rsid w:val="003F2E05"/>
    <w:rsid w:val="003F4780"/>
    <w:rsid w:val="00404951"/>
    <w:rsid w:val="00407D6D"/>
    <w:rsid w:val="0041352D"/>
    <w:rsid w:val="004173F6"/>
    <w:rsid w:val="00423F19"/>
    <w:rsid w:val="004361DC"/>
    <w:rsid w:val="004432E7"/>
    <w:rsid w:val="00445FF9"/>
    <w:rsid w:val="00465B94"/>
    <w:rsid w:val="00474153"/>
    <w:rsid w:val="00485C2D"/>
    <w:rsid w:val="00487895"/>
    <w:rsid w:val="00495C32"/>
    <w:rsid w:val="004A0708"/>
    <w:rsid w:val="004A4837"/>
    <w:rsid w:val="004B00FD"/>
    <w:rsid w:val="004B4C82"/>
    <w:rsid w:val="004C426F"/>
    <w:rsid w:val="004C4885"/>
    <w:rsid w:val="004D1007"/>
    <w:rsid w:val="004E4404"/>
    <w:rsid w:val="004F6ABF"/>
    <w:rsid w:val="005023CC"/>
    <w:rsid w:val="00502813"/>
    <w:rsid w:val="00512C0F"/>
    <w:rsid w:val="00514C4D"/>
    <w:rsid w:val="005154D3"/>
    <w:rsid w:val="00521A4C"/>
    <w:rsid w:val="00524190"/>
    <w:rsid w:val="005263C4"/>
    <w:rsid w:val="00527A95"/>
    <w:rsid w:val="00540617"/>
    <w:rsid w:val="00544656"/>
    <w:rsid w:val="005656E0"/>
    <w:rsid w:val="005713C7"/>
    <w:rsid w:val="0057278A"/>
    <w:rsid w:val="00575E5E"/>
    <w:rsid w:val="0058383A"/>
    <w:rsid w:val="00584DA5"/>
    <w:rsid w:val="00591E9F"/>
    <w:rsid w:val="005921CC"/>
    <w:rsid w:val="00592261"/>
    <w:rsid w:val="005975B9"/>
    <w:rsid w:val="005B6012"/>
    <w:rsid w:val="005C0AD5"/>
    <w:rsid w:val="005C4414"/>
    <w:rsid w:val="005E2AE0"/>
    <w:rsid w:val="005E43F4"/>
    <w:rsid w:val="005E69BF"/>
    <w:rsid w:val="005F3690"/>
    <w:rsid w:val="005F6703"/>
    <w:rsid w:val="00601A31"/>
    <w:rsid w:val="00602933"/>
    <w:rsid w:val="006045FB"/>
    <w:rsid w:val="00604E8B"/>
    <w:rsid w:val="006122F4"/>
    <w:rsid w:val="00615CA4"/>
    <w:rsid w:val="00626D36"/>
    <w:rsid w:val="00635AFB"/>
    <w:rsid w:val="0065490E"/>
    <w:rsid w:val="0065687B"/>
    <w:rsid w:val="0067400C"/>
    <w:rsid w:val="00676A61"/>
    <w:rsid w:val="00677041"/>
    <w:rsid w:val="006843EF"/>
    <w:rsid w:val="0068726E"/>
    <w:rsid w:val="0069283F"/>
    <w:rsid w:val="00694B5D"/>
    <w:rsid w:val="006C33F5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726FB"/>
    <w:rsid w:val="00780AAB"/>
    <w:rsid w:val="00782644"/>
    <w:rsid w:val="00790B1D"/>
    <w:rsid w:val="00793F65"/>
    <w:rsid w:val="007A04C2"/>
    <w:rsid w:val="007A4823"/>
    <w:rsid w:val="007A4B38"/>
    <w:rsid w:val="007A4C53"/>
    <w:rsid w:val="007A76AD"/>
    <w:rsid w:val="007B2099"/>
    <w:rsid w:val="007B2714"/>
    <w:rsid w:val="007B4E41"/>
    <w:rsid w:val="007B6B96"/>
    <w:rsid w:val="007C05DF"/>
    <w:rsid w:val="007C05E7"/>
    <w:rsid w:val="007C5F7A"/>
    <w:rsid w:val="007C6B7A"/>
    <w:rsid w:val="007D07B1"/>
    <w:rsid w:val="007D0CE1"/>
    <w:rsid w:val="007D3698"/>
    <w:rsid w:val="007E7EDB"/>
    <w:rsid w:val="007F407E"/>
    <w:rsid w:val="007F4E02"/>
    <w:rsid w:val="007F56B0"/>
    <w:rsid w:val="007F5CB0"/>
    <w:rsid w:val="007F6A0E"/>
    <w:rsid w:val="00803608"/>
    <w:rsid w:val="00810281"/>
    <w:rsid w:val="00810A1F"/>
    <w:rsid w:val="008156E7"/>
    <w:rsid w:val="008179CB"/>
    <w:rsid w:val="00821662"/>
    <w:rsid w:val="0083040C"/>
    <w:rsid w:val="008319CA"/>
    <w:rsid w:val="00836C73"/>
    <w:rsid w:val="0085551D"/>
    <w:rsid w:val="0086442F"/>
    <w:rsid w:val="00867C6A"/>
    <w:rsid w:val="00871259"/>
    <w:rsid w:val="00872500"/>
    <w:rsid w:val="00872720"/>
    <w:rsid w:val="00873E30"/>
    <w:rsid w:val="0087447C"/>
    <w:rsid w:val="00874A9A"/>
    <w:rsid w:val="00877764"/>
    <w:rsid w:val="008919B2"/>
    <w:rsid w:val="008926FF"/>
    <w:rsid w:val="00895285"/>
    <w:rsid w:val="0089786F"/>
    <w:rsid w:val="008B017B"/>
    <w:rsid w:val="008B0EE9"/>
    <w:rsid w:val="008B13F5"/>
    <w:rsid w:val="008B162B"/>
    <w:rsid w:val="008C13BD"/>
    <w:rsid w:val="008D07CB"/>
    <w:rsid w:val="008D4BC1"/>
    <w:rsid w:val="008D5C01"/>
    <w:rsid w:val="008D7BE7"/>
    <w:rsid w:val="00901BA9"/>
    <w:rsid w:val="00905A3D"/>
    <w:rsid w:val="00940D38"/>
    <w:rsid w:val="00970598"/>
    <w:rsid w:val="00973735"/>
    <w:rsid w:val="00976894"/>
    <w:rsid w:val="00980983"/>
    <w:rsid w:val="00981703"/>
    <w:rsid w:val="00984B96"/>
    <w:rsid w:val="00985782"/>
    <w:rsid w:val="009863AC"/>
    <w:rsid w:val="009A140A"/>
    <w:rsid w:val="009B289D"/>
    <w:rsid w:val="009C1EF6"/>
    <w:rsid w:val="009C47C2"/>
    <w:rsid w:val="009C7C2C"/>
    <w:rsid w:val="009D2910"/>
    <w:rsid w:val="009E04DF"/>
    <w:rsid w:val="009E360E"/>
    <w:rsid w:val="009E5EE3"/>
    <w:rsid w:val="009F042A"/>
    <w:rsid w:val="00A12E98"/>
    <w:rsid w:val="00A1648C"/>
    <w:rsid w:val="00A21057"/>
    <w:rsid w:val="00A27910"/>
    <w:rsid w:val="00A33132"/>
    <w:rsid w:val="00A41F8E"/>
    <w:rsid w:val="00A44DDA"/>
    <w:rsid w:val="00A45171"/>
    <w:rsid w:val="00A46DA1"/>
    <w:rsid w:val="00A63260"/>
    <w:rsid w:val="00A64362"/>
    <w:rsid w:val="00A66D3F"/>
    <w:rsid w:val="00A671ED"/>
    <w:rsid w:val="00A83EDB"/>
    <w:rsid w:val="00A85E52"/>
    <w:rsid w:val="00AA27AC"/>
    <w:rsid w:val="00AA7D57"/>
    <w:rsid w:val="00AD22BB"/>
    <w:rsid w:val="00AE06A9"/>
    <w:rsid w:val="00AE13F1"/>
    <w:rsid w:val="00AE1401"/>
    <w:rsid w:val="00AE189D"/>
    <w:rsid w:val="00AE19AF"/>
    <w:rsid w:val="00AE1E94"/>
    <w:rsid w:val="00AE6354"/>
    <w:rsid w:val="00AE756C"/>
    <w:rsid w:val="00B0198F"/>
    <w:rsid w:val="00B144C6"/>
    <w:rsid w:val="00B3155E"/>
    <w:rsid w:val="00B359CA"/>
    <w:rsid w:val="00B3617A"/>
    <w:rsid w:val="00B450DB"/>
    <w:rsid w:val="00B638E5"/>
    <w:rsid w:val="00B64ACD"/>
    <w:rsid w:val="00B657C9"/>
    <w:rsid w:val="00B74E1F"/>
    <w:rsid w:val="00B75344"/>
    <w:rsid w:val="00B84041"/>
    <w:rsid w:val="00B85427"/>
    <w:rsid w:val="00B979A2"/>
    <w:rsid w:val="00BA32AF"/>
    <w:rsid w:val="00BC13BC"/>
    <w:rsid w:val="00BC2C60"/>
    <w:rsid w:val="00BC393B"/>
    <w:rsid w:val="00BC4F96"/>
    <w:rsid w:val="00BC662E"/>
    <w:rsid w:val="00BE6494"/>
    <w:rsid w:val="00C02926"/>
    <w:rsid w:val="00C20926"/>
    <w:rsid w:val="00C2191F"/>
    <w:rsid w:val="00C219D8"/>
    <w:rsid w:val="00C2298B"/>
    <w:rsid w:val="00C416DC"/>
    <w:rsid w:val="00C4254E"/>
    <w:rsid w:val="00C532DF"/>
    <w:rsid w:val="00C56590"/>
    <w:rsid w:val="00C57CE5"/>
    <w:rsid w:val="00C6247E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7CDD"/>
    <w:rsid w:val="00CD7853"/>
    <w:rsid w:val="00CE0E6E"/>
    <w:rsid w:val="00CE594F"/>
    <w:rsid w:val="00CF1B62"/>
    <w:rsid w:val="00CF1C6C"/>
    <w:rsid w:val="00CF543D"/>
    <w:rsid w:val="00D100E5"/>
    <w:rsid w:val="00D16F6F"/>
    <w:rsid w:val="00D1798E"/>
    <w:rsid w:val="00D26DFF"/>
    <w:rsid w:val="00D33EE3"/>
    <w:rsid w:val="00D44900"/>
    <w:rsid w:val="00D473CF"/>
    <w:rsid w:val="00D522FB"/>
    <w:rsid w:val="00D5276A"/>
    <w:rsid w:val="00D549B2"/>
    <w:rsid w:val="00D61E32"/>
    <w:rsid w:val="00D646C5"/>
    <w:rsid w:val="00D71FA2"/>
    <w:rsid w:val="00D815CA"/>
    <w:rsid w:val="00D8340D"/>
    <w:rsid w:val="00D85541"/>
    <w:rsid w:val="00D86350"/>
    <w:rsid w:val="00D960D9"/>
    <w:rsid w:val="00DA18EA"/>
    <w:rsid w:val="00DA7D53"/>
    <w:rsid w:val="00DC13BB"/>
    <w:rsid w:val="00DC62EC"/>
    <w:rsid w:val="00DC6BDE"/>
    <w:rsid w:val="00DC7BB8"/>
    <w:rsid w:val="00DD32AC"/>
    <w:rsid w:val="00DD5A81"/>
    <w:rsid w:val="00DE2E9C"/>
    <w:rsid w:val="00E04892"/>
    <w:rsid w:val="00E07CFF"/>
    <w:rsid w:val="00E16D3B"/>
    <w:rsid w:val="00E20FBC"/>
    <w:rsid w:val="00E305C3"/>
    <w:rsid w:val="00E44B2E"/>
    <w:rsid w:val="00E66FE2"/>
    <w:rsid w:val="00E71733"/>
    <w:rsid w:val="00E909C2"/>
    <w:rsid w:val="00E95597"/>
    <w:rsid w:val="00EA019F"/>
    <w:rsid w:val="00EB4E58"/>
    <w:rsid w:val="00EB79C5"/>
    <w:rsid w:val="00EC0ECC"/>
    <w:rsid w:val="00EC277A"/>
    <w:rsid w:val="00ED1A68"/>
    <w:rsid w:val="00ED468F"/>
    <w:rsid w:val="00ED515D"/>
    <w:rsid w:val="00ED5ED2"/>
    <w:rsid w:val="00EF4553"/>
    <w:rsid w:val="00EF5E8B"/>
    <w:rsid w:val="00EF7515"/>
    <w:rsid w:val="00F022B5"/>
    <w:rsid w:val="00F11EE8"/>
    <w:rsid w:val="00F14522"/>
    <w:rsid w:val="00F158F6"/>
    <w:rsid w:val="00F20BB3"/>
    <w:rsid w:val="00F21760"/>
    <w:rsid w:val="00F21D54"/>
    <w:rsid w:val="00F22854"/>
    <w:rsid w:val="00F24F07"/>
    <w:rsid w:val="00F35531"/>
    <w:rsid w:val="00F563D3"/>
    <w:rsid w:val="00F7406E"/>
    <w:rsid w:val="00F741FF"/>
    <w:rsid w:val="00F841CE"/>
    <w:rsid w:val="00F84553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0FF1354"/>
    <w:rsid w:val="0432664F"/>
    <w:rsid w:val="07D80F98"/>
    <w:rsid w:val="0DB53A2A"/>
    <w:rsid w:val="17A31B54"/>
    <w:rsid w:val="1EB22B9E"/>
    <w:rsid w:val="2098075B"/>
    <w:rsid w:val="22414A06"/>
    <w:rsid w:val="34676C84"/>
    <w:rsid w:val="36E62DB9"/>
    <w:rsid w:val="37FA247A"/>
    <w:rsid w:val="3CAC2FC7"/>
    <w:rsid w:val="44925C83"/>
    <w:rsid w:val="45F36327"/>
    <w:rsid w:val="4F072D89"/>
    <w:rsid w:val="502E2718"/>
    <w:rsid w:val="7B1A31DE"/>
    <w:rsid w:val="7DC86C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6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4CB9A-48C5-43ED-ACA2-F040CB5CA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SMQ</Company>
  <Pages>2</Pages>
  <Words>152</Words>
  <Characters>872</Characters>
  <Lines>7</Lines>
  <Paragraphs>2</Paragraphs>
  <TotalTime>95</TotalTime>
  <ScaleCrop>false</ScaleCrop>
  <LinksUpToDate>false</LinksUpToDate>
  <CharactersWithSpaces>1022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2018-04-04T05:56:00Z</dcterms:created>
  <dc:creator>test</dc:creator>
  <cp:lastModifiedBy>mho</cp:lastModifiedBy>
  <dcterms:modified xsi:type="dcterms:W3CDTF">2019-11-01T01:32:45Z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