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widowControl/>
        <w:spacing w:line="27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深圳市药品检验研究院2019年12月选聘职员岗位表</w:t>
      </w:r>
    </w:p>
    <w:p>
      <w:pPr>
        <w:widowControl/>
        <w:spacing w:line="27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2"/>
        <w:tblW w:w="14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5"/>
        <w:gridCol w:w="1022"/>
        <w:gridCol w:w="993"/>
        <w:gridCol w:w="907"/>
        <w:gridCol w:w="623"/>
        <w:gridCol w:w="554"/>
        <w:gridCol w:w="605"/>
        <w:gridCol w:w="657"/>
        <w:gridCol w:w="657"/>
        <w:gridCol w:w="605"/>
        <w:gridCol w:w="1345"/>
        <w:gridCol w:w="793"/>
        <w:gridCol w:w="2326"/>
        <w:gridCol w:w="567"/>
        <w:gridCol w:w="567"/>
        <w:gridCol w:w="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2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岗位属性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75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岗位条件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与岗位有关的其它条件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91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深圳市市场监督管理局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市药品检验研究院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SYPJY201902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科研技术开发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十一级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博士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公共卫生与预防医学（A1004）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全日制普通高等教育学历；有药学科研研究相关工作经验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SYPJY201903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业务受理负责人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八级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hint="eastAsia" w:cs="Arial"/>
                <w:sz w:val="20"/>
                <w:szCs w:val="20"/>
              </w:rPr>
              <w:t>药学  （B101001）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具有5年以上业务受理工作经验，且在聘副高级专业技术岗位不少于2年。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SYPJY201904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医疗器械高级工程师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八级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硕士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hint="eastAsia" w:cs="Arial"/>
                <w:sz w:val="20"/>
                <w:szCs w:val="20"/>
              </w:rPr>
              <w:t>通信与信息系统（A081001）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副高级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全日制普通高等教育学历；具有5年以上医疗器械超声方向检测工作经验，且在聘副高级专业技术岗位不少于2年。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市内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46AB9"/>
    <w:rsid w:val="475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2019-12-31T02:06:12Z</dcterms:created>
  <dc:creator>yeyj</dc:creator>
  <cp:lastModifiedBy>yeyj</cp:lastModifiedBy>
  <dcterms:modified xsi:type="dcterms:W3CDTF">2019-12-31T02:07:04Z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