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91" w:rsidRPr="00EE2519" w:rsidRDefault="008C0A91" w:rsidP="008C0A91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EE2519">
        <w:rPr>
          <w:rFonts w:ascii="黑体" w:eastAsia="黑体" w:hAnsi="黑体" w:cs="黑体" w:hint="eastAsia"/>
          <w:sz w:val="32"/>
          <w:szCs w:val="32"/>
        </w:rPr>
        <w:t xml:space="preserve">附件1     </w:t>
      </w:r>
    </w:p>
    <w:p w:rsidR="008C0A91" w:rsidRPr="00EE2519" w:rsidRDefault="008C0A91" w:rsidP="008C0A91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E2519">
        <w:rPr>
          <w:rFonts w:ascii="方正小标宋简体" w:eastAsia="方正小标宋简体" w:hAnsi="仿宋" w:hint="eastAsia"/>
          <w:sz w:val="36"/>
          <w:szCs w:val="36"/>
        </w:rPr>
        <w:t>药品和医疗器械安全突发事件分级标准和响应规定</w:t>
      </w:r>
    </w:p>
    <w:p w:rsidR="008C0A91" w:rsidRPr="00EE2519" w:rsidRDefault="008C0A91" w:rsidP="008C0A91">
      <w:pPr>
        <w:jc w:val="center"/>
        <w:rPr>
          <w:rFonts w:ascii="仿宋_GB2312" w:eastAsia="仿宋_GB2312" w:hAnsi="仿宋_GB2312" w:cs="仿宋_GB2312"/>
          <w:szCs w:val="21"/>
        </w:rPr>
      </w:pPr>
      <w:r w:rsidRPr="00EE2519">
        <w:rPr>
          <w:rFonts w:ascii="仿宋_GB2312" w:eastAsia="仿宋_GB2312" w:hAnsi="仿宋_GB2312" w:cs="仿宋_GB2312" w:hint="eastAsia"/>
          <w:szCs w:val="21"/>
        </w:rPr>
        <w:t>（引自《国家食品药品监督管理总局食品药品安全事件防范应对规程（试行）》）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0"/>
        <w:gridCol w:w="6165"/>
        <w:gridCol w:w="1665"/>
      </w:tblGrid>
      <w:tr w:rsidR="008C0A91" w:rsidRPr="00EE2519" w:rsidTr="00C041CE">
        <w:trPr>
          <w:trHeight w:val="410"/>
        </w:trPr>
        <w:tc>
          <w:tcPr>
            <w:tcW w:w="1590" w:type="dxa"/>
          </w:tcPr>
          <w:p w:rsidR="008C0A91" w:rsidRPr="00EE2519" w:rsidRDefault="008C0A91" w:rsidP="00C041C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2519">
              <w:rPr>
                <w:rFonts w:ascii="宋体" w:hAnsi="宋体" w:cs="宋体" w:hint="eastAsia"/>
                <w:b/>
                <w:bCs/>
                <w:szCs w:val="21"/>
              </w:rPr>
              <w:t>级别</w:t>
            </w:r>
          </w:p>
        </w:tc>
        <w:tc>
          <w:tcPr>
            <w:tcW w:w="6165" w:type="dxa"/>
          </w:tcPr>
          <w:p w:rsidR="008C0A91" w:rsidRPr="00EE2519" w:rsidRDefault="008C0A91" w:rsidP="00C041C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2519">
              <w:rPr>
                <w:rFonts w:ascii="宋体" w:hAnsi="宋体" w:cs="宋体" w:hint="eastAsia"/>
                <w:b/>
                <w:bCs/>
                <w:szCs w:val="21"/>
              </w:rPr>
              <w:t>标准</w:t>
            </w:r>
          </w:p>
        </w:tc>
        <w:tc>
          <w:tcPr>
            <w:tcW w:w="1665" w:type="dxa"/>
          </w:tcPr>
          <w:p w:rsidR="008C0A91" w:rsidRPr="00EE2519" w:rsidRDefault="008C0A91" w:rsidP="00C041C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2519">
              <w:rPr>
                <w:rFonts w:ascii="宋体" w:hAnsi="宋体" w:cs="宋体" w:hint="eastAsia"/>
                <w:b/>
                <w:bCs/>
                <w:szCs w:val="21"/>
              </w:rPr>
              <w:t>响应级别</w:t>
            </w:r>
          </w:p>
        </w:tc>
      </w:tr>
      <w:tr w:rsidR="008C0A91" w:rsidRPr="00EE2519" w:rsidTr="00C041CE">
        <w:trPr>
          <w:trHeight w:val="2340"/>
        </w:trPr>
        <w:tc>
          <w:tcPr>
            <w:tcW w:w="1590" w:type="dxa"/>
            <w:vAlign w:val="center"/>
          </w:tcPr>
          <w:p w:rsidR="008C0A91" w:rsidRPr="00EE2519" w:rsidRDefault="008C0A91" w:rsidP="00C041CE">
            <w:pPr>
              <w:jc w:val="center"/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特别重大药品安全突发事件</w:t>
            </w:r>
          </w:p>
        </w:tc>
        <w:tc>
          <w:tcPr>
            <w:tcW w:w="6165" w:type="dxa"/>
          </w:tcPr>
          <w:p w:rsidR="008C0A91" w:rsidRPr="00EE2519" w:rsidRDefault="008C0A91" w:rsidP="00C041CE">
            <w:pPr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1）在相对集中的时间和（或）区域内，批号相对集中的同一药品引起临床表现相似的，且罕见的或非预期的不良事件的人数超过50人（含）；或者引起特别严重不良事件（可能对人体造成永久性伤残、对器官功能造成永久性损伤或危及生命）的人数超过10人（含）；</w:t>
            </w:r>
          </w:p>
          <w:p w:rsidR="008C0A91" w:rsidRPr="00EE2519" w:rsidRDefault="008C0A91" w:rsidP="00C041CE">
            <w:pPr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（2）同一批号药品短期内引起3例（含）以上患者死亡；</w:t>
            </w:r>
          </w:p>
          <w:p w:rsidR="008C0A91" w:rsidRPr="00EE2519" w:rsidRDefault="008C0A91" w:rsidP="00C041CE">
            <w:pPr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（3）短期内2个以上省（区、市）因同一药品发生Ⅱ级药品安全突发事件；</w:t>
            </w:r>
          </w:p>
          <w:p w:rsidR="008C0A91" w:rsidRPr="00EE2519" w:rsidRDefault="008C0A91" w:rsidP="00C041CE">
            <w:pPr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（4）其他危害特别严重的药品安全突发事件。</w:t>
            </w:r>
          </w:p>
        </w:tc>
        <w:tc>
          <w:tcPr>
            <w:tcW w:w="1665" w:type="dxa"/>
            <w:vAlign w:val="center"/>
          </w:tcPr>
          <w:p w:rsidR="008C0A91" w:rsidRPr="00EE2519" w:rsidRDefault="008C0A91" w:rsidP="00C041CE">
            <w:pPr>
              <w:jc w:val="center"/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国家总局启动</w:t>
            </w:r>
          </w:p>
          <w:p w:rsidR="008C0A91" w:rsidRPr="00EE2519" w:rsidRDefault="008C0A91" w:rsidP="00C041CE">
            <w:pPr>
              <w:jc w:val="center"/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Ⅰ级响应</w:t>
            </w:r>
          </w:p>
        </w:tc>
      </w:tr>
      <w:tr w:rsidR="008C0A91" w:rsidRPr="00EE2519" w:rsidTr="00C041CE">
        <w:trPr>
          <w:trHeight w:val="2340"/>
        </w:trPr>
        <w:tc>
          <w:tcPr>
            <w:tcW w:w="1590" w:type="dxa"/>
            <w:vAlign w:val="center"/>
          </w:tcPr>
          <w:p w:rsidR="008C0A91" w:rsidRPr="00EE2519" w:rsidRDefault="008C0A91" w:rsidP="00C041C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重大药品安全突发事件</w:t>
            </w:r>
          </w:p>
        </w:tc>
        <w:tc>
          <w:tcPr>
            <w:tcW w:w="6165" w:type="dxa"/>
          </w:tcPr>
          <w:p w:rsidR="008C0A91" w:rsidRPr="00EE2519" w:rsidRDefault="008C0A91" w:rsidP="00C041CE">
            <w:pPr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1）在相对集中的时间和（或）区域内，批号相对集中的同一药品引起临床表现相似的，且罕见的或非预期的不良事件的人数超过30人（含），少于50人；或者引起特别严重不良事件（可能对人体造成永久性伤残、对器官功能造成永久性损伤或危及生命），涉及人数超过5人（含）；</w:t>
            </w:r>
          </w:p>
          <w:p w:rsidR="008C0A91" w:rsidRPr="00EE2519" w:rsidRDefault="008C0A91" w:rsidP="00C041CE">
            <w:pPr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（2）同一批号药品短期内引起1至2例患者死亡，且在同一区域内同时出现其他类似病例；</w:t>
            </w:r>
          </w:p>
          <w:p w:rsidR="008C0A91" w:rsidRPr="00EE2519" w:rsidRDefault="008C0A91" w:rsidP="00C041CE">
            <w:pPr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（3）短期内1个省（区、市）内2个以上市(地)因同一药品发生Ⅲ级药品安全突发事件；</w:t>
            </w:r>
          </w:p>
          <w:p w:rsidR="008C0A91" w:rsidRPr="00EE2519" w:rsidRDefault="008C0A91" w:rsidP="00C041CE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（4）其他危害严重的重大药品安全突发事件。</w:t>
            </w:r>
          </w:p>
        </w:tc>
        <w:tc>
          <w:tcPr>
            <w:tcW w:w="1665" w:type="dxa"/>
            <w:vAlign w:val="center"/>
          </w:tcPr>
          <w:p w:rsidR="008C0A91" w:rsidRPr="00EE2519" w:rsidRDefault="008C0A91" w:rsidP="00C041C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省级人民政府或监管部门启动Ⅱ级响应</w:t>
            </w:r>
          </w:p>
        </w:tc>
      </w:tr>
      <w:tr w:rsidR="008C0A91" w:rsidRPr="00EE2519" w:rsidTr="00C041CE">
        <w:trPr>
          <w:trHeight w:val="2340"/>
        </w:trPr>
        <w:tc>
          <w:tcPr>
            <w:tcW w:w="1590" w:type="dxa"/>
            <w:vAlign w:val="center"/>
          </w:tcPr>
          <w:p w:rsidR="008C0A91" w:rsidRPr="00EE2519" w:rsidRDefault="008C0A91" w:rsidP="00C041C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较大药品安全突发事件</w:t>
            </w:r>
          </w:p>
        </w:tc>
        <w:tc>
          <w:tcPr>
            <w:tcW w:w="6165" w:type="dxa"/>
          </w:tcPr>
          <w:p w:rsidR="008C0A91" w:rsidRPr="00EE2519" w:rsidRDefault="008C0A91" w:rsidP="00C041CE">
            <w:pPr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1）在相对集中的时间和（或）区域内，批号相对集中的同一药品引起临床表现相似的，且罕见的或非预期的不良事件的人数超过20人（含），少于30人；或者引起特别严重不良事件（可能对人体造成永久性伤残、对器官功能造成永久性损伤或危及生命），涉及人数超过3人（含）；</w:t>
            </w:r>
          </w:p>
          <w:p w:rsidR="008C0A91" w:rsidRPr="00EE2519" w:rsidRDefault="008C0A91" w:rsidP="00C041CE">
            <w:pPr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（2）短期内1个市（地）内2个以上县（市）因同一药品发生Ⅳ级药品安全突发事件；</w:t>
            </w:r>
          </w:p>
          <w:p w:rsidR="008C0A91" w:rsidRPr="00EE2519" w:rsidRDefault="008C0A91" w:rsidP="00C041CE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（3）其他危害较大的药品安全突发事件。</w:t>
            </w:r>
          </w:p>
        </w:tc>
        <w:tc>
          <w:tcPr>
            <w:tcW w:w="1665" w:type="dxa"/>
            <w:vAlign w:val="center"/>
          </w:tcPr>
          <w:p w:rsidR="008C0A91" w:rsidRPr="00EE2519" w:rsidRDefault="008C0A91" w:rsidP="00C041C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市级人民政府或监管部门启动Ⅲ级响应</w:t>
            </w:r>
          </w:p>
        </w:tc>
      </w:tr>
      <w:tr w:rsidR="008C0A91" w:rsidRPr="00EE2519" w:rsidTr="00C041CE">
        <w:trPr>
          <w:trHeight w:val="2055"/>
        </w:trPr>
        <w:tc>
          <w:tcPr>
            <w:tcW w:w="1590" w:type="dxa"/>
            <w:vAlign w:val="center"/>
          </w:tcPr>
          <w:p w:rsidR="008C0A91" w:rsidRPr="00EE2519" w:rsidRDefault="008C0A91" w:rsidP="00C041C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一般药品安全突发事件</w:t>
            </w:r>
          </w:p>
        </w:tc>
        <w:tc>
          <w:tcPr>
            <w:tcW w:w="6165" w:type="dxa"/>
          </w:tcPr>
          <w:p w:rsidR="008C0A91" w:rsidRPr="00EE2519" w:rsidRDefault="008C0A91" w:rsidP="00C041CE">
            <w:pPr>
              <w:rPr>
                <w:rFonts w:ascii="宋体" w:hAnsi="宋体" w:cs="宋体"/>
                <w:szCs w:val="21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1）在相对集中的时间和（或）区域内，批号相对集中的同一药品引起临床表现相似的，且罕见的或非预期的不良事件的人数超过10人（含），少于20人；或者引起特别严重不良事件（可能对人体造成永久性伤残、对器官功能造成永久性损伤或危及生命），涉及人数超过2人（含）；</w:t>
            </w:r>
          </w:p>
          <w:p w:rsidR="008C0A91" w:rsidRPr="00EE2519" w:rsidRDefault="008C0A91" w:rsidP="00C041CE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（2）其他一般药品安全突发事件。</w:t>
            </w:r>
          </w:p>
        </w:tc>
        <w:tc>
          <w:tcPr>
            <w:tcW w:w="1665" w:type="dxa"/>
            <w:vAlign w:val="center"/>
          </w:tcPr>
          <w:p w:rsidR="008C0A91" w:rsidRPr="00EE2519" w:rsidRDefault="008C0A91" w:rsidP="00C041CE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2519">
              <w:rPr>
                <w:rFonts w:ascii="宋体" w:hAnsi="宋体" w:cs="宋体" w:hint="eastAsia"/>
                <w:szCs w:val="21"/>
              </w:rPr>
              <w:t>县级人民政府或监管部门启动Ⅳ级响应</w:t>
            </w:r>
          </w:p>
        </w:tc>
      </w:tr>
    </w:tbl>
    <w:p w:rsidR="001464C5" w:rsidRPr="008C0A91" w:rsidRDefault="008C0A91">
      <w:pPr>
        <w:rPr>
          <w:rFonts w:ascii="仿宋_GB2312" w:eastAsia="仿宋_GB2312" w:hAnsi="仿宋_GB2312" w:cs="仿宋_GB2312"/>
          <w:szCs w:val="21"/>
        </w:rPr>
      </w:pPr>
      <w:r w:rsidRPr="00EE2519">
        <w:rPr>
          <w:rFonts w:ascii="仿宋_GB2312" w:eastAsia="仿宋_GB2312" w:hAnsi="仿宋_GB2312" w:cs="仿宋_GB2312" w:hint="eastAsia"/>
          <w:szCs w:val="21"/>
        </w:rPr>
        <w:t>注：此分级标准中规定的“药品”</w:t>
      </w:r>
      <w:proofErr w:type="gramStart"/>
      <w:r w:rsidRPr="00EE2519">
        <w:rPr>
          <w:rFonts w:ascii="仿宋_GB2312" w:eastAsia="仿宋_GB2312" w:hAnsi="仿宋_GB2312" w:cs="仿宋_GB2312" w:hint="eastAsia"/>
          <w:szCs w:val="21"/>
        </w:rPr>
        <w:t>含医疗</w:t>
      </w:r>
      <w:proofErr w:type="gramEnd"/>
      <w:r w:rsidRPr="00EE2519">
        <w:rPr>
          <w:rFonts w:ascii="仿宋_GB2312" w:eastAsia="仿宋_GB2312" w:hAnsi="仿宋_GB2312" w:cs="仿宋_GB2312" w:hint="eastAsia"/>
          <w:szCs w:val="21"/>
        </w:rPr>
        <w:t>器械；化妆品安全事件分级参照此标准执行。</w:t>
      </w:r>
    </w:p>
    <w:sectPr w:rsidR="001464C5" w:rsidRPr="008C0A91" w:rsidSect="0014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A91"/>
    <w:rsid w:val="001464C5"/>
    <w:rsid w:val="008C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徐洁璇</dc:creator>
  <cp:lastModifiedBy>徐洁璇</cp:lastModifiedBy>
  <cp:revision>1</cp:revision>
  <dcterms:created xsi:type="dcterms:W3CDTF">2015-06-08T07:34:00Z</dcterms:created>
  <dcterms:modified xsi:type="dcterms:W3CDTF">2015-06-08T07:34:00Z</dcterms:modified>
</cp:coreProperties>
</file>