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1" w:rsidRDefault="00397C71" w:rsidP="00397C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397C71" w:rsidRDefault="00397C71" w:rsidP="00397C71">
      <w:pPr>
        <w:jc w:val="center"/>
        <w:rPr>
          <w:rFonts w:ascii="仿宋_GB2312" w:eastAsia="仿宋_GB2312"/>
          <w:b/>
          <w:sz w:val="32"/>
          <w:szCs w:val="32"/>
        </w:rPr>
      </w:pPr>
      <w:r w:rsidRPr="008F503C">
        <w:rPr>
          <w:rFonts w:ascii="仿宋_GB2312" w:eastAsia="仿宋_GB2312" w:hint="eastAsia"/>
          <w:b/>
          <w:sz w:val="32"/>
          <w:szCs w:val="32"/>
        </w:rPr>
        <w:t>食用农产品质</w:t>
      </w:r>
      <w:proofErr w:type="gramStart"/>
      <w:r w:rsidRPr="008F503C">
        <w:rPr>
          <w:rFonts w:ascii="仿宋_GB2312" w:eastAsia="仿宋_GB2312" w:hint="eastAsia"/>
          <w:b/>
          <w:sz w:val="32"/>
          <w:szCs w:val="32"/>
        </w:rPr>
        <w:t>量安全</w:t>
      </w:r>
      <w:proofErr w:type="gramEnd"/>
      <w:r w:rsidRPr="008F503C">
        <w:rPr>
          <w:rFonts w:ascii="仿宋_GB2312" w:eastAsia="仿宋_GB2312" w:hint="eastAsia"/>
          <w:b/>
          <w:sz w:val="32"/>
          <w:szCs w:val="32"/>
        </w:rPr>
        <w:t>快速筛查和定量检测预处理点建设扶持分级补贴标准</w:t>
      </w:r>
    </w:p>
    <w:tbl>
      <w:tblPr>
        <w:tblStyle w:val="a3"/>
        <w:tblW w:w="15452" w:type="dxa"/>
        <w:tblInd w:w="-318" w:type="dxa"/>
        <w:tblLook w:val="04A0"/>
      </w:tblPr>
      <w:tblGrid>
        <w:gridCol w:w="817"/>
        <w:gridCol w:w="1701"/>
        <w:gridCol w:w="4145"/>
        <w:gridCol w:w="4927"/>
        <w:gridCol w:w="3862"/>
      </w:tblGrid>
      <w:tr w:rsidR="00397C71" w:rsidRPr="009E10D2" w:rsidTr="00FE6AF4">
        <w:tc>
          <w:tcPr>
            <w:tcW w:w="817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序号</w:t>
            </w:r>
          </w:p>
        </w:tc>
        <w:tc>
          <w:tcPr>
            <w:tcW w:w="1701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等级</w:t>
            </w:r>
          </w:p>
        </w:tc>
        <w:tc>
          <w:tcPr>
            <w:tcW w:w="4145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A级</w:t>
            </w:r>
            <w:r>
              <w:rPr>
                <w:rFonts w:ascii="仿宋_GB2312" w:eastAsia="仿宋_GB2312" w:hint="eastAsia"/>
                <w:i w:val="0"/>
                <w:color w:val="auto"/>
              </w:rPr>
              <w:t>（补贴金额：10万元）</w:t>
            </w:r>
          </w:p>
        </w:tc>
        <w:tc>
          <w:tcPr>
            <w:tcW w:w="4927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B级（补贴金额：6万元）</w:t>
            </w:r>
          </w:p>
        </w:tc>
        <w:tc>
          <w:tcPr>
            <w:tcW w:w="3862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C级（补贴金额：3万元）</w:t>
            </w:r>
          </w:p>
        </w:tc>
      </w:tr>
      <w:tr w:rsidR="00397C71" w:rsidRPr="009E10D2" w:rsidTr="00FE6AF4">
        <w:tc>
          <w:tcPr>
            <w:tcW w:w="817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1</w:t>
            </w:r>
          </w:p>
        </w:tc>
        <w:tc>
          <w:tcPr>
            <w:tcW w:w="1701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检测</w:t>
            </w:r>
            <w:proofErr w:type="gramStart"/>
            <w:r w:rsidRPr="009E10D2">
              <w:rPr>
                <w:rFonts w:ascii="仿宋_GB2312" w:eastAsia="仿宋_GB2312" w:hint="eastAsia"/>
                <w:i w:val="0"/>
                <w:color w:val="auto"/>
              </w:rPr>
              <w:t>室面积</w:t>
            </w:r>
            <w:proofErr w:type="gramEnd"/>
          </w:p>
        </w:tc>
        <w:tc>
          <w:tcPr>
            <w:tcW w:w="4145" w:type="dxa"/>
          </w:tcPr>
          <w:p w:rsidR="00397C71" w:rsidRPr="005B2A53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不少于10</w:t>
            </w:r>
            <w:r w:rsidRPr="00F0595C">
              <w:rPr>
                <w:rFonts w:hint="eastAsia"/>
                <w:i w:val="0"/>
                <w:color w:val="auto"/>
              </w:rPr>
              <w:t>㎡</w:t>
            </w:r>
          </w:p>
        </w:tc>
        <w:tc>
          <w:tcPr>
            <w:tcW w:w="4927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5</w:t>
            </w:r>
            <w:r w:rsidRPr="00F0595C">
              <w:rPr>
                <w:rFonts w:hint="eastAsia"/>
                <w:i w:val="0"/>
                <w:color w:val="auto"/>
              </w:rPr>
              <w:t>㎡</w:t>
            </w:r>
          </w:p>
        </w:tc>
        <w:tc>
          <w:tcPr>
            <w:tcW w:w="3862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3</w:t>
            </w:r>
            <w:r w:rsidRPr="00F0595C">
              <w:rPr>
                <w:rFonts w:hint="eastAsia"/>
                <w:i w:val="0"/>
                <w:color w:val="auto"/>
              </w:rPr>
              <w:t>㎡</w:t>
            </w:r>
          </w:p>
        </w:tc>
      </w:tr>
      <w:tr w:rsidR="00397C71" w:rsidRPr="009E10D2" w:rsidTr="00FE6AF4">
        <w:tc>
          <w:tcPr>
            <w:tcW w:w="817" w:type="dxa"/>
          </w:tcPr>
          <w:p w:rsidR="00397C71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2</w:t>
            </w:r>
          </w:p>
        </w:tc>
        <w:tc>
          <w:tcPr>
            <w:tcW w:w="1701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检测设施</w:t>
            </w:r>
          </w:p>
        </w:tc>
        <w:tc>
          <w:tcPr>
            <w:tcW w:w="4145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专用实验台、洗涤池、样品冰柜或冰箱、药品柜、抽样工具</w:t>
            </w:r>
            <w:r>
              <w:rPr>
                <w:rFonts w:hint="eastAsia"/>
                <w:i w:val="0"/>
                <w:color w:val="auto"/>
              </w:rPr>
              <w:t>，具备可开展检测工作的水电条件</w:t>
            </w:r>
          </w:p>
        </w:tc>
        <w:tc>
          <w:tcPr>
            <w:tcW w:w="4927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实验台、洗涤池、样品冰柜或冰箱、抽样工具</w:t>
            </w:r>
            <w:r>
              <w:rPr>
                <w:rFonts w:hint="eastAsia"/>
                <w:i w:val="0"/>
                <w:color w:val="auto"/>
              </w:rPr>
              <w:t>，具备可开展检测工作的水电条件</w:t>
            </w:r>
          </w:p>
        </w:tc>
        <w:tc>
          <w:tcPr>
            <w:tcW w:w="3862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实验台、抽样工具</w:t>
            </w:r>
            <w:r>
              <w:rPr>
                <w:rFonts w:hint="eastAsia"/>
                <w:i w:val="0"/>
                <w:color w:val="auto"/>
              </w:rPr>
              <w:t>，具备可开展检测工作的水电条件</w:t>
            </w:r>
          </w:p>
        </w:tc>
      </w:tr>
      <w:tr w:rsidR="00397C71" w:rsidRPr="009E10D2" w:rsidTr="00FE6AF4">
        <w:tc>
          <w:tcPr>
            <w:tcW w:w="817" w:type="dxa"/>
          </w:tcPr>
          <w:p w:rsidR="00397C71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3</w:t>
            </w:r>
          </w:p>
        </w:tc>
        <w:tc>
          <w:tcPr>
            <w:tcW w:w="1701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检测仪器设备</w:t>
            </w:r>
          </w:p>
        </w:tc>
        <w:tc>
          <w:tcPr>
            <w:tcW w:w="4145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检测设备</w:t>
            </w:r>
            <w:r w:rsidRPr="00F0595C">
              <w:rPr>
                <w:rFonts w:hint="eastAsia"/>
                <w:i w:val="0"/>
                <w:color w:val="auto"/>
              </w:rPr>
              <w:t>2</w:t>
            </w:r>
            <w:r w:rsidRPr="00F0595C">
              <w:rPr>
                <w:rFonts w:hint="eastAsia"/>
                <w:i w:val="0"/>
                <w:color w:val="auto"/>
              </w:rPr>
              <w:t>台以上，</w:t>
            </w:r>
            <w:r>
              <w:rPr>
                <w:rFonts w:hint="eastAsia"/>
                <w:i w:val="0"/>
                <w:color w:val="auto"/>
              </w:rPr>
              <w:t>样品搅</w:t>
            </w:r>
            <w:r w:rsidRPr="00F0595C">
              <w:rPr>
                <w:rFonts w:hint="eastAsia"/>
                <w:i w:val="0"/>
                <w:color w:val="auto"/>
              </w:rPr>
              <w:t>碎机</w:t>
            </w:r>
            <w:r w:rsidRPr="00F0595C">
              <w:rPr>
                <w:rFonts w:hint="eastAsia"/>
                <w:i w:val="0"/>
                <w:color w:val="auto"/>
              </w:rPr>
              <w:t>2</w:t>
            </w:r>
            <w:r w:rsidRPr="00F0595C">
              <w:rPr>
                <w:rFonts w:hint="eastAsia"/>
                <w:i w:val="0"/>
                <w:color w:val="auto"/>
              </w:rPr>
              <w:t>台以上，</w:t>
            </w:r>
            <w:r>
              <w:rPr>
                <w:rFonts w:hint="eastAsia"/>
                <w:i w:val="0"/>
                <w:color w:val="auto"/>
              </w:rPr>
              <w:t>超声波振荡器，常量天平，</w:t>
            </w:r>
            <w:r w:rsidRPr="00F0595C">
              <w:rPr>
                <w:rFonts w:hint="eastAsia"/>
                <w:i w:val="0"/>
                <w:color w:val="auto"/>
              </w:rPr>
              <w:t>同时应配备必要辅助器皿和工具</w:t>
            </w:r>
          </w:p>
        </w:tc>
        <w:tc>
          <w:tcPr>
            <w:tcW w:w="4927" w:type="dxa"/>
          </w:tcPr>
          <w:p w:rsidR="00397C71" w:rsidRPr="00961DC2" w:rsidRDefault="00397C71" w:rsidP="00FE6AF4">
            <w:pPr>
              <w:jc w:val="left"/>
              <w:rPr>
                <w:i w:val="0"/>
                <w:color w:val="auto"/>
              </w:rPr>
            </w:pPr>
            <w:r w:rsidRPr="00961DC2">
              <w:rPr>
                <w:rFonts w:hint="eastAsia"/>
                <w:i w:val="0"/>
                <w:color w:val="auto"/>
              </w:rPr>
              <w:t>检测设备</w:t>
            </w:r>
            <w:r w:rsidRPr="00961DC2">
              <w:rPr>
                <w:rFonts w:hint="eastAsia"/>
                <w:i w:val="0"/>
                <w:color w:val="auto"/>
              </w:rPr>
              <w:t>1</w:t>
            </w:r>
            <w:r w:rsidRPr="00961DC2">
              <w:rPr>
                <w:rFonts w:hint="eastAsia"/>
                <w:i w:val="0"/>
                <w:color w:val="auto"/>
              </w:rPr>
              <w:t>台，样品搅碎机</w:t>
            </w:r>
            <w:r w:rsidRPr="00961DC2">
              <w:rPr>
                <w:rFonts w:hint="eastAsia"/>
                <w:i w:val="0"/>
                <w:color w:val="auto"/>
              </w:rPr>
              <w:t>1</w:t>
            </w:r>
            <w:r w:rsidRPr="00961DC2">
              <w:rPr>
                <w:rFonts w:hint="eastAsia"/>
                <w:i w:val="0"/>
                <w:color w:val="auto"/>
              </w:rPr>
              <w:t>台，同时应配备必要辅助器皿和工具。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检测设备</w:t>
            </w:r>
            <w:r w:rsidRPr="00F0595C">
              <w:rPr>
                <w:rFonts w:hint="eastAsia"/>
                <w:i w:val="0"/>
                <w:color w:val="auto"/>
              </w:rPr>
              <w:t>1</w:t>
            </w:r>
            <w:r w:rsidRPr="00F0595C">
              <w:rPr>
                <w:rFonts w:hint="eastAsia"/>
                <w:i w:val="0"/>
                <w:color w:val="auto"/>
              </w:rPr>
              <w:t>台，同时应配备必要辅助器皿和工具</w:t>
            </w:r>
          </w:p>
        </w:tc>
      </w:tr>
      <w:tr w:rsidR="00397C71" w:rsidRPr="009E10D2" w:rsidTr="00FE6AF4">
        <w:tc>
          <w:tcPr>
            <w:tcW w:w="817" w:type="dxa"/>
          </w:tcPr>
          <w:p w:rsidR="00397C71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4</w:t>
            </w:r>
          </w:p>
        </w:tc>
        <w:tc>
          <w:tcPr>
            <w:tcW w:w="1701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数据处理设备</w:t>
            </w:r>
          </w:p>
        </w:tc>
        <w:tc>
          <w:tcPr>
            <w:tcW w:w="4145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能上网的电脑一台，打印机一台，办公桌椅、文件资料柜</w:t>
            </w:r>
          </w:p>
        </w:tc>
        <w:tc>
          <w:tcPr>
            <w:tcW w:w="4927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能上网的电脑一台，打印机一台</w:t>
            </w:r>
          </w:p>
        </w:tc>
        <w:tc>
          <w:tcPr>
            <w:tcW w:w="3862" w:type="dxa"/>
            <w:tcBorders>
              <w:tr2bl w:val="single" w:sz="4" w:space="0" w:color="auto"/>
            </w:tcBorders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</w:p>
        </w:tc>
      </w:tr>
      <w:tr w:rsidR="00397C71" w:rsidRPr="009E10D2" w:rsidTr="00FE6AF4">
        <w:tc>
          <w:tcPr>
            <w:tcW w:w="817" w:type="dxa"/>
          </w:tcPr>
          <w:p w:rsidR="00397C71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5</w:t>
            </w:r>
          </w:p>
        </w:tc>
        <w:tc>
          <w:tcPr>
            <w:tcW w:w="1701" w:type="dxa"/>
          </w:tcPr>
          <w:p w:rsidR="00397C71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检测人员</w:t>
            </w:r>
          </w:p>
        </w:tc>
        <w:tc>
          <w:tcPr>
            <w:tcW w:w="4145" w:type="dxa"/>
          </w:tcPr>
          <w:p w:rsidR="00397C71" w:rsidRPr="00F0595C" w:rsidRDefault="00397C71" w:rsidP="00FE6AF4">
            <w:pPr>
              <w:jc w:val="left"/>
              <w:rPr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3</w:t>
            </w:r>
            <w:r w:rsidRPr="00C50C2C">
              <w:rPr>
                <w:rFonts w:hint="eastAsia"/>
                <w:i w:val="0"/>
                <w:color w:val="auto"/>
              </w:rPr>
              <w:t>人</w:t>
            </w:r>
          </w:p>
        </w:tc>
        <w:tc>
          <w:tcPr>
            <w:tcW w:w="4927" w:type="dxa"/>
          </w:tcPr>
          <w:p w:rsidR="00397C71" w:rsidRPr="00F0595C" w:rsidRDefault="00397C71" w:rsidP="00FE6AF4">
            <w:pPr>
              <w:jc w:val="left"/>
              <w:rPr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2</w:t>
            </w:r>
            <w:r>
              <w:rPr>
                <w:rFonts w:hint="eastAsia"/>
                <w:i w:val="0"/>
                <w:color w:val="auto"/>
              </w:rPr>
              <w:t>人</w:t>
            </w:r>
          </w:p>
        </w:tc>
        <w:tc>
          <w:tcPr>
            <w:tcW w:w="3862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不少于1人</w:t>
            </w:r>
          </w:p>
        </w:tc>
      </w:tr>
      <w:tr w:rsidR="00397C71" w:rsidRPr="009E10D2" w:rsidTr="00FE6AF4">
        <w:tc>
          <w:tcPr>
            <w:tcW w:w="817" w:type="dxa"/>
            <w:vMerge w:val="restart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6</w:t>
            </w:r>
          </w:p>
        </w:tc>
        <w:tc>
          <w:tcPr>
            <w:tcW w:w="1701" w:type="dxa"/>
            <w:vMerge w:val="restart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月平均检测量</w:t>
            </w:r>
          </w:p>
        </w:tc>
        <w:tc>
          <w:tcPr>
            <w:tcW w:w="4145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 xml:space="preserve">不少于500份（种植业产品） </w:t>
            </w:r>
          </w:p>
        </w:tc>
        <w:tc>
          <w:tcPr>
            <w:tcW w:w="4927" w:type="dxa"/>
          </w:tcPr>
          <w:p w:rsidR="00397C71" w:rsidRPr="00961DC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61DC2">
              <w:rPr>
                <w:rFonts w:ascii="仿宋_GB2312" w:eastAsia="仿宋_GB2312" w:hint="eastAsia"/>
                <w:i w:val="0"/>
                <w:color w:val="auto"/>
              </w:rPr>
              <w:t>不少于200份</w:t>
            </w:r>
            <w:r>
              <w:rPr>
                <w:rFonts w:ascii="仿宋_GB2312" w:eastAsia="仿宋_GB2312" w:hint="eastAsia"/>
                <w:i w:val="0"/>
                <w:color w:val="auto"/>
              </w:rPr>
              <w:t>（种植业产品）</w:t>
            </w:r>
          </w:p>
        </w:tc>
        <w:tc>
          <w:tcPr>
            <w:tcW w:w="3862" w:type="dxa"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不少于100份（种植业产品）</w:t>
            </w:r>
          </w:p>
        </w:tc>
      </w:tr>
      <w:tr w:rsidR="00397C71" w:rsidRPr="009E10D2" w:rsidTr="00FE6AF4">
        <w:tc>
          <w:tcPr>
            <w:tcW w:w="817" w:type="dxa"/>
            <w:vMerge/>
          </w:tcPr>
          <w:p w:rsidR="00397C71" w:rsidRDefault="00397C71" w:rsidP="00FE6AF4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</w:tcPr>
          <w:p w:rsidR="00397C71" w:rsidRPr="009E10D2" w:rsidRDefault="00397C71" w:rsidP="00FE6AF4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145" w:type="dxa"/>
          </w:tcPr>
          <w:p w:rsidR="00397C71" w:rsidRPr="00C50C2C" w:rsidRDefault="00397C71" w:rsidP="00FE6AF4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不少于100份（畜禽类产品、水产品）</w:t>
            </w:r>
          </w:p>
        </w:tc>
        <w:tc>
          <w:tcPr>
            <w:tcW w:w="4927" w:type="dxa"/>
          </w:tcPr>
          <w:p w:rsidR="00397C71" w:rsidRPr="00961DC2" w:rsidRDefault="00397C71" w:rsidP="00FE6AF4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不少于60份（畜禽类产品、水产品）</w:t>
            </w:r>
          </w:p>
        </w:tc>
        <w:tc>
          <w:tcPr>
            <w:tcW w:w="3862" w:type="dxa"/>
          </w:tcPr>
          <w:p w:rsidR="00397C71" w:rsidRDefault="00397C71" w:rsidP="00FE6AF4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不少于30份（畜禽类产品、水产品）</w:t>
            </w:r>
          </w:p>
        </w:tc>
      </w:tr>
    </w:tbl>
    <w:p w:rsidR="00397C71" w:rsidRPr="007841E0" w:rsidRDefault="00397C71" w:rsidP="00397C71">
      <w:pPr>
        <w:rPr>
          <w:i/>
          <w:sz w:val="32"/>
          <w:szCs w:val="32"/>
        </w:rPr>
      </w:pPr>
    </w:p>
    <w:p w:rsidR="000C0E00" w:rsidRPr="00397C71" w:rsidRDefault="000C0E00"/>
    <w:sectPr w:rsidR="000C0E00" w:rsidRPr="00397C71" w:rsidSect="00397C71">
      <w:pgSz w:w="16838" w:h="11906" w:orient="landscape"/>
      <w:pgMar w:top="284" w:right="395" w:bottom="1800" w:left="7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C71"/>
    <w:rsid w:val="000C0E00"/>
    <w:rsid w:val="00397C71"/>
    <w:rsid w:val="004E4F87"/>
    <w:rsid w:val="0058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C71"/>
    <w:rPr>
      <w:rFonts w:ascii="Times New Roman" w:eastAsia="华文仿宋" w:hAnsi="Times New Roman" w:cs="Times New Roman"/>
      <w:i/>
      <w:color w:val="FF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吴伟坚</dc:creator>
  <cp:lastModifiedBy>吴伟坚</cp:lastModifiedBy>
  <cp:revision>1</cp:revision>
  <dcterms:created xsi:type="dcterms:W3CDTF">2016-01-14T06:52:00Z</dcterms:created>
  <dcterms:modified xsi:type="dcterms:W3CDTF">2016-01-14T06:53:00Z</dcterms:modified>
</cp:coreProperties>
</file>