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5B" w:rsidRPr="00C11ACC" w:rsidRDefault="001E035B" w:rsidP="001E035B">
      <w:pPr>
        <w:spacing w:line="460" w:lineRule="exact"/>
        <w:rPr>
          <w:rFonts w:ascii="黑体" w:eastAsia="黑体" w:hAnsi="黑体" w:hint="eastAsia"/>
          <w:b/>
          <w:color w:val="000000"/>
          <w:sz w:val="28"/>
          <w:szCs w:val="28"/>
        </w:rPr>
      </w:pPr>
      <w:r w:rsidRPr="00C11ACC">
        <w:rPr>
          <w:rFonts w:ascii="黑体" w:eastAsia="黑体" w:hAnsi="黑体" w:hint="eastAsia"/>
          <w:color w:val="000000"/>
          <w:sz w:val="28"/>
          <w:szCs w:val="28"/>
        </w:rPr>
        <w:t>附件9</w:t>
      </w:r>
    </w:p>
    <w:p w:rsidR="001E035B" w:rsidRPr="005E3689" w:rsidRDefault="001E035B" w:rsidP="001E035B">
      <w:pPr>
        <w:spacing w:line="460" w:lineRule="exact"/>
        <w:jc w:val="center"/>
        <w:rPr>
          <w:rFonts w:hint="eastAsia"/>
          <w:b/>
          <w:color w:val="000000"/>
          <w:sz w:val="28"/>
          <w:szCs w:val="28"/>
        </w:rPr>
      </w:pPr>
      <w:bookmarkStart w:id="0" w:name="_GoBack"/>
      <w:r w:rsidRPr="005E3689">
        <w:rPr>
          <w:rFonts w:hint="eastAsia"/>
          <w:b/>
          <w:color w:val="000000"/>
          <w:sz w:val="28"/>
          <w:szCs w:val="28"/>
        </w:rPr>
        <w:t>现场检查笔录（专用模板）</w:t>
      </w:r>
    </w:p>
    <w:bookmarkEnd w:id="0"/>
    <w:p w:rsidR="001E035B" w:rsidRPr="005E3689" w:rsidRDefault="001E035B" w:rsidP="001E035B">
      <w:pPr>
        <w:spacing w:line="460" w:lineRule="exact"/>
        <w:rPr>
          <w:rFonts w:hint="eastAsia"/>
          <w:b/>
          <w:color w:val="000000"/>
          <w:sz w:val="28"/>
          <w:szCs w:val="28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4"/>
        </w:rPr>
        <w:t>（     ）第</w:t>
      </w:r>
      <w:r w:rsidRPr="005E368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    </w:t>
      </w:r>
      <w:r w:rsidRPr="005E3689">
        <w:rPr>
          <w:rFonts w:ascii="仿宋_GB2312" w:eastAsia="仿宋_GB2312" w:hAnsi="宋体" w:hint="eastAsia"/>
          <w:color w:val="000000"/>
          <w:kern w:val="0"/>
          <w:sz w:val="24"/>
        </w:rPr>
        <w:t xml:space="preserve">号                                 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页共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页</w:t>
      </w:r>
    </w:p>
    <w:p w:rsidR="001E035B" w:rsidRPr="005E3689" w:rsidRDefault="001E035B" w:rsidP="001E035B">
      <w:pPr>
        <w:spacing w:line="460" w:lineRule="exact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5821680" cy="0"/>
                <wp:effectExtent l="9525" t="10160" r="17145" b="18415"/>
                <wp:wrapNone/>
                <wp:docPr id="205" name="直接连接符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B51A" id="直接连接符 20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49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HZMAIAADg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" strokeweight="1.5pt"/>
            </w:pict>
          </mc:Fallback>
        </mc:AlternateContent>
      </w:r>
      <w:r w:rsidRPr="005E3689">
        <w:rPr>
          <w:rFonts w:ascii="仿宋_GB2312" w:eastAsia="仿宋_GB2312" w:hint="eastAsia"/>
          <w:color w:val="000000"/>
          <w:sz w:val="24"/>
        </w:rPr>
        <w:t>被检查人：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</w:t>
      </w:r>
    </w:p>
    <w:p w:rsidR="001E035B" w:rsidRPr="005E3689" w:rsidRDefault="001E035B" w:rsidP="001E035B">
      <w:pPr>
        <w:spacing w:line="300" w:lineRule="exact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检查机关：深圳市</w:t>
      </w:r>
      <w:r>
        <w:rPr>
          <w:rFonts w:ascii="仿宋_GB2312" w:eastAsia="仿宋_GB2312" w:hint="eastAsia"/>
          <w:color w:val="000000"/>
          <w:sz w:val="24"/>
        </w:rPr>
        <w:t>市场和质量监督管理委员会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4"/>
        </w:rPr>
        <w:t>食品药品</w:t>
      </w:r>
      <w:r w:rsidRPr="005E3689">
        <w:rPr>
          <w:rFonts w:ascii="仿宋_GB2312" w:eastAsia="仿宋_GB2312" w:hint="eastAsia"/>
          <w:color w:val="000000"/>
          <w:sz w:val="24"/>
        </w:rPr>
        <w:t>监督管理局</w:t>
      </w:r>
    </w:p>
    <w:p w:rsidR="001E035B" w:rsidRPr="005E3689" w:rsidRDefault="001E035B" w:rsidP="001E035B">
      <w:pPr>
        <w:spacing w:line="300" w:lineRule="exact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检查时间：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5E3689">
        <w:rPr>
          <w:rFonts w:ascii="仿宋_GB2312" w:eastAsia="仿宋_GB2312" w:hint="eastAsia"/>
          <w:color w:val="000000"/>
          <w:sz w:val="24"/>
        </w:rPr>
        <w:t>年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日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时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分至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5E3689">
        <w:rPr>
          <w:rFonts w:ascii="仿宋_GB2312" w:eastAsia="仿宋_GB2312" w:hint="eastAsia"/>
          <w:color w:val="000000"/>
          <w:sz w:val="24"/>
        </w:rPr>
        <w:t>年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5E3689">
        <w:rPr>
          <w:rFonts w:ascii="仿宋_GB2312" w:eastAsia="仿宋_GB2312" w:hint="eastAsia"/>
          <w:color w:val="000000"/>
          <w:sz w:val="24"/>
        </w:rPr>
        <w:t>日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时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分</w:t>
      </w:r>
    </w:p>
    <w:p w:rsidR="001E035B" w:rsidRPr="005E3689" w:rsidRDefault="001E035B" w:rsidP="001E035B">
      <w:pPr>
        <w:spacing w:line="300" w:lineRule="exact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int="eastAsia"/>
          <w:color w:val="000000"/>
          <w:sz w:val="24"/>
        </w:rPr>
        <w:t>检查地点：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</w:t>
      </w:r>
    </w:p>
    <w:p w:rsidR="001E035B" w:rsidRPr="005E3689" w:rsidRDefault="001E035B" w:rsidP="001E035B">
      <w:pPr>
        <w:spacing w:line="280" w:lineRule="exact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检查记录：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我局监管人员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 w:rsidRPr="005E3689">
        <w:rPr>
          <w:rFonts w:ascii="仿宋_GB2312" w:eastAsia="仿宋_GB2312" w:hint="eastAsia"/>
          <w:color w:val="000000"/>
          <w:sz w:val="24"/>
        </w:rPr>
        <w:t>、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 w:rsidRPr="005E3689">
        <w:rPr>
          <w:rFonts w:ascii="仿宋_GB2312" w:eastAsia="仿宋_GB2312" w:hint="eastAsia"/>
          <w:color w:val="000000"/>
          <w:sz w:val="24"/>
        </w:rPr>
        <w:t>出示执法证件，告知来意，在该单位食品安全负责人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 w:rsidRPr="005E3689">
        <w:rPr>
          <w:rFonts w:ascii="仿宋_GB2312" w:eastAsia="仿宋_GB2312" w:hint="eastAsia"/>
          <w:color w:val="000000"/>
          <w:sz w:val="24"/>
        </w:rPr>
        <w:t xml:space="preserve">的陪同下，依法对该单位实施现场检查，检查情况记录如下：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1.</w:t>
      </w:r>
      <w:r w:rsidRPr="005E3689">
        <w:rPr>
          <w:rFonts w:ascii="仿宋_GB2312" w:eastAsia="仿宋_GB2312" w:hint="eastAsia"/>
          <w:color w:val="000000"/>
          <w:sz w:val="24"/>
        </w:rPr>
        <w:t>检查食品生产经营许可证：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1.1 □</w:t>
      </w:r>
      <w:r w:rsidRPr="005E3689">
        <w:rPr>
          <w:rFonts w:ascii="仿宋_GB2312" w:eastAsia="仿宋_GB2312" w:hint="eastAsia"/>
          <w:color w:val="000000"/>
          <w:sz w:val="24"/>
        </w:rPr>
        <w:t>持有有效《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</w:t>
      </w:r>
      <w:r w:rsidRPr="005E3689">
        <w:rPr>
          <w:rFonts w:ascii="仿宋_GB2312" w:eastAsia="仿宋_GB2312" w:hint="eastAsia"/>
          <w:color w:val="000000"/>
          <w:sz w:val="24"/>
        </w:rPr>
        <w:t>许可证》，有效期至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5E3689">
        <w:rPr>
          <w:rFonts w:ascii="仿宋_GB2312" w:eastAsia="仿宋_GB2312" w:hint="eastAsia"/>
          <w:color w:val="000000"/>
          <w:sz w:val="24"/>
        </w:rPr>
        <w:t>年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日。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许可项目为：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超许可范围经营：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1.2 □</w:t>
      </w:r>
      <w:r w:rsidRPr="005E3689">
        <w:rPr>
          <w:rFonts w:ascii="仿宋_GB2312" w:eastAsia="仿宋_GB2312" w:hint="eastAsia"/>
          <w:color w:val="000000"/>
          <w:sz w:val="24"/>
        </w:rPr>
        <w:t>许可证已过期，有效期至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5E3689">
        <w:rPr>
          <w:rFonts w:ascii="仿宋_GB2312" w:eastAsia="仿宋_GB2312" w:hint="eastAsia"/>
          <w:color w:val="000000"/>
          <w:sz w:val="24"/>
        </w:rPr>
        <w:t>年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 xml:space="preserve">日； </w:t>
      </w:r>
      <w:r w:rsidRPr="005E3689">
        <w:rPr>
          <w:rFonts w:ascii="仿宋_GB2312" w:eastAsia="仿宋_GB2312" w:hAnsi="宋体" w:hint="eastAsia"/>
          <w:color w:val="000000"/>
          <w:sz w:val="24"/>
        </w:rPr>
        <w:t>□不能出示</w:t>
      </w:r>
      <w:r w:rsidRPr="005E3689">
        <w:rPr>
          <w:rFonts w:ascii="仿宋_GB2312" w:eastAsia="仿宋_GB2312" w:hint="eastAsia"/>
          <w:color w:val="000000"/>
          <w:sz w:val="24"/>
        </w:rPr>
        <w:t>许可证。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2.</w:t>
      </w:r>
      <w:r w:rsidRPr="005E3689">
        <w:rPr>
          <w:rFonts w:ascii="仿宋_GB2312" w:eastAsia="仿宋_GB2312" w:hint="eastAsia"/>
          <w:color w:val="000000"/>
          <w:sz w:val="24"/>
        </w:rPr>
        <w:t>现场抽查从业人员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</w:t>
      </w:r>
      <w:r w:rsidRPr="005E3689">
        <w:rPr>
          <w:rFonts w:ascii="仿宋_GB2312" w:eastAsia="仿宋_GB2312" w:hint="eastAsia"/>
          <w:color w:val="000000"/>
          <w:sz w:val="24"/>
        </w:rPr>
        <w:t>等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5E3689">
        <w:rPr>
          <w:rFonts w:ascii="仿宋_GB2312" w:eastAsia="仿宋_GB2312" w:hint="eastAsia"/>
          <w:color w:val="000000"/>
          <w:sz w:val="24"/>
        </w:rPr>
        <w:t>人健康证及健康状况：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2.1</w:t>
      </w:r>
      <w:r w:rsidRPr="005E3689">
        <w:rPr>
          <w:rFonts w:ascii="仿宋_GB2312" w:eastAsia="仿宋_GB2312" w:hint="eastAsia"/>
          <w:color w:val="000000"/>
          <w:sz w:val="24"/>
        </w:rPr>
        <w:t xml:space="preserve"> </w:t>
      </w:r>
      <w:r w:rsidRPr="005E3689">
        <w:rPr>
          <w:rFonts w:ascii="仿宋_GB2312" w:eastAsia="仿宋_GB2312" w:hAnsi="宋体" w:hint="eastAsia"/>
          <w:color w:val="000000"/>
          <w:sz w:val="24"/>
        </w:rPr>
        <w:t>□均能出示有效</w:t>
      </w:r>
      <w:r w:rsidRPr="005E3689">
        <w:rPr>
          <w:rFonts w:ascii="仿宋_GB2312" w:eastAsia="仿宋_GB2312" w:hint="eastAsia"/>
          <w:color w:val="000000"/>
          <w:sz w:val="24"/>
        </w:rPr>
        <w:t>健康证，健康状况：</w:t>
      </w: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未见异常；</w:t>
      </w: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发现异常：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2.2</w:t>
      </w:r>
      <w:r w:rsidRPr="005E3689">
        <w:rPr>
          <w:rFonts w:ascii="仿宋_GB2312" w:eastAsia="仿宋_GB2312" w:hint="eastAsia"/>
          <w:color w:val="000000"/>
          <w:sz w:val="24"/>
        </w:rPr>
        <w:t xml:space="preserve"> </w:t>
      </w:r>
      <w:r w:rsidRPr="005E3689">
        <w:rPr>
          <w:rFonts w:ascii="仿宋_GB2312" w:eastAsia="仿宋_GB2312" w:hAnsi="宋体" w:hint="eastAsia"/>
          <w:color w:val="000000"/>
          <w:sz w:val="24"/>
        </w:rPr>
        <w:t>□不能出示有效</w:t>
      </w:r>
      <w:r w:rsidRPr="005E3689">
        <w:rPr>
          <w:rFonts w:ascii="仿宋_GB2312" w:eastAsia="仿宋_GB2312" w:hint="eastAsia"/>
          <w:color w:val="000000"/>
          <w:sz w:val="24"/>
        </w:rPr>
        <w:t>健康证：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3.</w:t>
      </w:r>
      <w:r w:rsidRPr="005E3689">
        <w:rPr>
          <w:rFonts w:ascii="仿宋_GB2312" w:eastAsia="仿宋_GB2312" w:hint="eastAsia"/>
          <w:color w:val="000000"/>
          <w:sz w:val="24"/>
        </w:rPr>
        <w:t>生产（加工）经营场所布局、流程与整体卫生状况：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3.1</w:t>
      </w:r>
      <w:r w:rsidRPr="005E3689">
        <w:rPr>
          <w:rFonts w:ascii="仿宋_GB2312" w:eastAsia="仿宋_GB2312" w:hint="eastAsia"/>
          <w:color w:val="000000"/>
          <w:sz w:val="24"/>
        </w:rPr>
        <w:t xml:space="preserve"> </w:t>
      </w:r>
      <w:r w:rsidRPr="005E3689">
        <w:rPr>
          <w:rFonts w:ascii="仿宋_GB2312" w:eastAsia="仿宋_GB2312" w:hAnsi="宋体" w:hint="eastAsia"/>
          <w:color w:val="000000"/>
          <w:sz w:val="24"/>
        </w:rPr>
        <w:t>□生产</w:t>
      </w:r>
      <w:r w:rsidRPr="005E3689">
        <w:rPr>
          <w:rFonts w:ascii="仿宋_GB2312" w:eastAsia="仿宋_GB2312" w:hint="eastAsia"/>
          <w:color w:val="000000"/>
          <w:sz w:val="24"/>
        </w:rPr>
        <w:t>（加工）经营布局符合要求，工艺流程合理。</w:t>
      </w:r>
    </w:p>
    <w:p w:rsidR="001E035B" w:rsidRPr="005E3689" w:rsidRDefault="001E035B" w:rsidP="001E035B">
      <w:pPr>
        <w:spacing w:line="280" w:lineRule="exact"/>
        <w:ind w:firstLineChars="400" w:firstLine="960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不符合要求：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3.2</w:t>
      </w:r>
      <w:r w:rsidRPr="005E3689">
        <w:rPr>
          <w:rFonts w:ascii="仿宋_GB2312" w:eastAsia="仿宋_GB2312" w:hint="eastAsia"/>
          <w:color w:val="000000"/>
          <w:sz w:val="24"/>
        </w:rPr>
        <w:t xml:space="preserve"> </w:t>
      </w: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防尘防霉防害设施齐全，天花板、墙面、地面、操作台面无破损、污迹，排水、排烟通畅，垃圾无堆积、垃圾存放设施密闭无溢漏，未发现鼠、蝇等虫害活动迹象。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□不符合要求：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4.</w:t>
      </w:r>
      <w:r w:rsidRPr="005E3689">
        <w:rPr>
          <w:rFonts w:ascii="仿宋_GB2312" w:eastAsia="仿宋_GB2312" w:hint="eastAsia"/>
          <w:color w:val="000000"/>
          <w:sz w:val="24"/>
        </w:rPr>
        <w:t>设施设备：</w:t>
      </w: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具有与生产相适应的食品及原料冷藏设备、清洗消毒设施、餐具保洁设施等；冷藏设备、水池上贴有标识。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□不符合要求：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5.</w:t>
      </w:r>
      <w:r w:rsidRPr="005E3689">
        <w:rPr>
          <w:rFonts w:ascii="仿宋_GB2312" w:eastAsia="仿宋_GB2312" w:hint="eastAsia"/>
          <w:color w:val="000000"/>
          <w:sz w:val="24"/>
        </w:rPr>
        <w:t>食品加工过程：</w:t>
      </w:r>
      <w:r w:rsidRPr="005E3689">
        <w:rPr>
          <w:rFonts w:ascii="仿宋_GB2312" w:eastAsia="仿宋_GB2312" w:hAnsi="宋体" w:hint="eastAsia"/>
          <w:color w:val="000000"/>
          <w:sz w:val="24"/>
        </w:rPr>
        <w:t>□食品加工过程基本符合</w:t>
      </w:r>
      <w:r w:rsidRPr="005E3689">
        <w:rPr>
          <w:rFonts w:ascii="仿宋_GB2312" w:eastAsia="仿宋_GB2312" w:hint="eastAsia"/>
          <w:color w:val="000000"/>
          <w:sz w:val="24"/>
        </w:rPr>
        <w:t>要求，原料、半成品与成品分开存放，无交叉。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□不符合</w:t>
      </w:r>
      <w:r w:rsidRPr="005E3689">
        <w:rPr>
          <w:rFonts w:ascii="仿宋_GB2312" w:eastAsia="仿宋_GB2312" w:hint="eastAsia"/>
          <w:color w:val="000000"/>
          <w:sz w:val="24"/>
        </w:rPr>
        <w:t>要求：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6.</w:t>
      </w:r>
      <w:r w:rsidRPr="005E3689">
        <w:rPr>
          <w:rFonts w:ascii="仿宋_GB2312" w:eastAsia="仿宋_GB2312" w:hint="eastAsia"/>
          <w:color w:val="000000"/>
          <w:sz w:val="24"/>
        </w:rPr>
        <w:t>食品、原料、食品添加剂、相关产品采购索证索票，标签及存放（重点检查可疑食品、原料）：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落实采购索证索票与台账登记制度，中文标签齐全、符合规定；未发现过期、腐败、变质现象；有食品专用仓库进行存放，干燥通风，存放做到分类分架、隔墙离地。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□不符合</w:t>
      </w:r>
      <w:r w:rsidRPr="005E3689">
        <w:rPr>
          <w:rFonts w:ascii="仿宋_GB2312" w:eastAsia="仿宋_GB2312" w:hint="eastAsia"/>
          <w:color w:val="000000"/>
          <w:sz w:val="24"/>
        </w:rPr>
        <w:t>要求：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7.食品安全管理制度：□健全并落实；□缺失或不落实：</w:t>
      </w:r>
      <w:r w:rsidRPr="005E368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8.</w:t>
      </w:r>
      <w:r w:rsidRPr="005E3689">
        <w:rPr>
          <w:rFonts w:ascii="仿宋_GB2312" w:eastAsia="仿宋_GB2312" w:hint="eastAsia"/>
          <w:color w:val="000000"/>
          <w:sz w:val="24"/>
        </w:rPr>
        <w:t>专间：</w:t>
      </w:r>
      <w:r w:rsidRPr="005E3689">
        <w:rPr>
          <w:rFonts w:ascii="仿宋_GB2312" w:eastAsia="仿宋_GB2312" w:hAnsi="宋体" w:hint="eastAsia"/>
          <w:color w:val="000000"/>
          <w:sz w:val="24"/>
        </w:rPr>
        <w:t>□无专间；  □设有专间并正常使用，具有清洗消毒设施并能正常使用，进出门、传菜窗完好并保持封闭，紫外线灯安装正确并能正常使用，未发现生食品、半成品，未堆放杂物。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□不符合要求：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9.</w:t>
      </w:r>
      <w:r w:rsidRPr="005E3689">
        <w:rPr>
          <w:rFonts w:ascii="仿宋_GB2312" w:eastAsia="仿宋_GB2312" w:hint="eastAsia"/>
          <w:color w:val="000000"/>
          <w:sz w:val="24"/>
        </w:rPr>
        <w:t>涉嫌肇事场所、剩余食品及原料、工用具保护情况：</w:t>
      </w: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未发现破坏现场、毁灭证据的迹象；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发现可疑迹象：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10.技术调查人员进行了采样，我局调查人员进行了现场调查取证，采取了</w:t>
      </w:r>
      <w:r w:rsidRPr="005E3689">
        <w:rPr>
          <w:rFonts w:ascii="仿宋_GB2312" w:eastAsia="仿宋_GB2312" w:hAnsi="宋体" w:hint="eastAsia"/>
          <w:color w:val="000000"/>
          <w:sz w:val="24"/>
        </w:rPr>
        <w:lastRenderedPageBreak/>
        <w:t>相关控制措施。</w:t>
      </w: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11.□</w:t>
      </w:r>
      <w:r w:rsidRPr="005E3689">
        <w:rPr>
          <w:rFonts w:ascii="仿宋_GB2312" w:eastAsia="仿宋_GB2312" w:hint="eastAsia"/>
          <w:color w:val="000000"/>
          <w:sz w:val="24"/>
        </w:rPr>
        <w:t>其它内容见附页；</w:t>
      </w:r>
      <w:r w:rsidRPr="005E3689">
        <w:rPr>
          <w:rFonts w:ascii="仿宋_GB2312" w:eastAsia="仿宋_GB2312" w:hAnsi="宋体" w:hint="eastAsia"/>
          <w:color w:val="000000"/>
          <w:sz w:val="24"/>
        </w:rPr>
        <w:t>□无其它内容。</w:t>
      </w: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</w:rPr>
        <w:t>〖以下空白〗</w:t>
      </w: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Ansi="宋体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jc w:val="center"/>
        <w:rPr>
          <w:rFonts w:ascii="仿宋_GB2312" w:eastAsia="仿宋_GB2312" w:hint="eastAsia"/>
          <w:color w:val="000000"/>
          <w:sz w:val="24"/>
        </w:rPr>
      </w:pPr>
    </w:p>
    <w:p w:rsidR="001E035B" w:rsidRPr="005E3689" w:rsidRDefault="001E035B" w:rsidP="001E035B">
      <w:pPr>
        <w:spacing w:line="28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当事人签名：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5E3689">
        <w:rPr>
          <w:rFonts w:ascii="仿宋_GB2312" w:eastAsia="仿宋_GB2312" w:hint="eastAsia"/>
          <w:color w:val="000000"/>
          <w:sz w:val="24"/>
        </w:rPr>
        <w:t xml:space="preserve"> 　　       执法人员签名：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 w:rsidRPr="005E3689">
        <w:rPr>
          <w:rFonts w:ascii="仿宋_GB2312" w:eastAsia="仿宋_GB2312" w:hint="eastAsia"/>
          <w:color w:val="000000"/>
          <w:sz w:val="24"/>
        </w:rPr>
        <w:t>、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</w:p>
    <w:p w:rsidR="001E035B" w:rsidRPr="005E3689" w:rsidRDefault="001E035B" w:rsidP="001E035B">
      <w:pPr>
        <w:spacing w:line="280" w:lineRule="exact"/>
        <w:ind w:firstLineChars="350" w:firstLine="84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5E3689">
        <w:rPr>
          <w:rFonts w:ascii="仿宋_GB2312" w:eastAsia="仿宋_GB2312" w:hint="eastAsia"/>
          <w:color w:val="000000"/>
          <w:sz w:val="24"/>
        </w:rPr>
        <w:t>年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 xml:space="preserve">日　　　　　　              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5E3689">
        <w:rPr>
          <w:rFonts w:ascii="仿宋_GB2312" w:eastAsia="仿宋_GB2312" w:hint="eastAsia"/>
          <w:color w:val="000000"/>
          <w:sz w:val="24"/>
        </w:rPr>
        <w:t>年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日</w:t>
      </w:r>
    </w:p>
    <w:p w:rsidR="001E035B" w:rsidRPr="005E3689" w:rsidRDefault="001E035B" w:rsidP="001E035B">
      <w:pPr>
        <w:widowControl/>
        <w:spacing w:line="460" w:lineRule="exact"/>
        <w:rPr>
          <w:rFonts w:ascii="仿宋_GB2312" w:eastAsia="仿宋_GB2312" w:hAnsi="宋体" w:hint="eastAsia"/>
          <w:color w:val="000000"/>
          <w:kern w:val="0"/>
          <w:sz w:val="24"/>
        </w:rPr>
      </w:pPr>
      <w:r w:rsidRPr="005E3689">
        <w:rPr>
          <w:rFonts w:ascii="仿宋_GB2312" w:eastAsia="仿宋_GB2312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5735320" cy="0"/>
                <wp:effectExtent l="14605" t="11430" r="12700" b="17145"/>
                <wp:wrapNone/>
                <wp:docPr id="204" name="直接连接符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AE5E5" id="直接连接符 20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15pt" to="4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" strokeweight="1.5pt"/>
            </w:pict>
          </mc:Fallback>
        </mc:AlternateContent>
      </w:r>
      <w:r w:rsidRPr="005E3689">
        <w:rPr>
          <w:rFonts w:ascii="仿宋_GB2312" w:eastAsia="仿宋_GB2312" w:hAnsi="宋体" w:hint="eastAsia"/>
          <w:noProof/>
          <w:color w:val="000000"/>
          <w:kern w:val="0"/>
          <w:sz w:val="24"/>
        </w:rPr>
        <w:t>备注:本记录一式两联, 第一联留存卷宗备查，第二联交当事人。</w:t>
      </w:r>
    </w:p>
    <w:p w:rsidR="001E035B" w:rsidRPr="005E3689" w:rsidRDefault="001E035B" w:rsidP="001E035B">
      <w:pPr>
        <w:spacing w:line="120" w:lineRule="exact"/>
        <w:ind w:firstLineChars="1991" w:firstLine="4778"/>
        <w:rPr>
          <w:rFonts w:ascii="仿宋_GB2312" w:eastAsia="仿宋_GB2312" w:hAnsi="宋体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45085</wp:posOffset>
                </wp:positionV>
                <wp:extent cx="5748020" cy="20955"/>
                <wp:effectExtent l="14605" t="16510" r="9525" b="10160"/>
                <wp:wrapNone/>
                <wp:docPr id="203" name="直接连接符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20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B6A3" id="直接连接符 20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3.55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" strokeweight="1.5pt"/>
            </w:pict>
          </mc:Fallback>
        </mc:AlternateContent>
      </w:r>
    </w:p>
    <w:p w:rsidR="001E035B" w:rsidRPr="005E3689" w:rsidRDefault="001E035B" w:rsidP="001E035B">
      <w:pPr>
        <w:spacing w:line="300" w:lineRule="exact"/>
        <w:jc w:val="right"/>
        <w:rPr>
          <w:rFonts w:ascii="仿宋_GB2312" w:eastAsia="仿宋_GB2312" w:hint="eastAsia"/>
          <w:color w:val="000000"/>
          <w:sz w:val="24"/>
        </w:rPr>
        <w:sectPr w:rsidR="001E035B" w:rsidRPr="005E3689" w:rsidSect="00AF046D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5E3689">
        <w:rPr>
          <w:rFonts w:ascii="仿宋_GB2312" w:eastAsia="仿宋_GB2312" w:hAnsi="宋体" w:hint="eastAsia"/>
          <w:color w:val="000000"/>
          <w:sz w:val="24"/>
        </w:rPr>
        <w:t>深圳市</w:t>
      </w:r>
      <w:r>
        <w:rPr>
          <w:rFonts w:ascii="仿宋_GB2312" w:eastAsia="仿宋_GB2312" w:hAnsi="宋体" w:hint="eastAsia"/>
          <w:color w:val="000000"/>
          <w:sz w:val="24"/>
        </w:rPr>
        <w:t>食品药品</w:t>
      </w:r>
      <w:r w:rsidRPr="005E3689">
        <w:rPr>
          <w:rFonts w:ascii="仿宋_GB2312" w:eastAsia="仿宋_GB2312" w:hAnsi="宋体" w:hint="eastAsia"/>
          <w:color w:val="000000"/>
          <w:sz w:val="24"/>
        </w:rPr>
        <w:t>监督管理局  制</w:t>
      </w:r>
    </w:p>
    <w:p w:rsidR="00E431DF" w:rsidRPr="001E035B" w:rsidRDefault="00E431DF" w:rsidP="001E035B">
      <w:pPr>
        <w:rPr>
          <w:rFonts w:hint="eastAsia"/>
        </w:rPr>
      </w:pPr>
    </w:p>
    <w:sectPr w:rsidR="00E431DF" w:rsidRPr="001E035B" w:rsidSect="004F4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390F"/>
    <w:multiLevelType w:val="hybridMultilevel"/>
    <w:tmpl w:val="0BF4D192"/>
    <w:lvl w:ilvl="0" w:tplc="DDA480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33"/>
    <w:rsid w:val="00083882"/>
    <w:rsid w:val="001E035B"/>
    <w:rsid w:val="001F0D33"/>
    <w:rsid w:val="004F4708"/>
    <w:rsid w:val="00662B4B"/>
    <w:rsid w:val="00795CC1"/>
    <w:rsid w:val="00C5135F"/>
    <w:rsid w:val="00C73814"/>
    <w:rsid w:val="00CE3D1C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09B7-DD13-4A51-ACA0-4F467BD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2</cp:revision>
  <dcterms:created xsi:type="dcterms:W3CDTF">2016-05-27T07:18:00Z</dcterms:created>
  <dcterms:modified xsi:type="dcterms:W3CDTF">2016-05-27T07:18:00Z</dcterms:modified>
</cp:coreProperties>
</file>