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DD" w:rsidRPr="005D5636" w:rsidRDefault="006841DD" w:rsidP="006841DD">
      <w:pPr>
        <w:spacing w:line="600" w:lineRule="exact"/>
        <w:jc w:val="left"/>
        <w:rPr>
          <w:rFonts w:ascii="黑体" w:eastAsia="黑体" w:hAnsi="黑体"/>
          <w:spacing w:val="-20"/>
          <w:sz w:val="32"/>
          <w:szCs w:val="32"/>
        </w:rPr>
      </w:pPr>
      <w:r w:rsidRPr="005D5636">
        <w:rPr>
          <w:rFonts w:ascii="黑体" w:eastAsia="黑体" w:hAnsi="黑体" w:hint="eastAsia"/>
          <w:spacing w:val="-20"/>
          <w:sz w:val="32"/>
          <w:szCs w:val="32"/>
        </w:rPr>
        <w:t>附件</w:t>
      </w:r>
    </w:p>
    <w:p w:rsidR="006841DD" w:rsidRDefault="006841DD" w:rsidP="006841DD">
      <w:pPr>
        <w:widowControl/>
        <w:snapToGrid w:val="0"/>
        <w:spacing w:line="580" w:lineRule="exact"/>
        <w:jc w:val="center"/>
        <w:rPr>
          <w:rFonts w:ascii="方正小标宋简体" w:eastAsia="方正小标宋简体"/>
          <w:sz w:val="44"/>
          <w:szCs w:val="44"/>
        </w:rPr>
      </w:pPr>
      <w:r w:rsidRPr="005D5636">
        <w:rPr>
          <w:rFonts w:ascii="方正小标宋简体" w:eastAsia="方正小标宋简体" w:hint="eastAsia"/>
          <w:sz w:val="44"/>
          <w:szCs w:val="44"/>
        </w:rPr>
        <w:t>深圳市食品安全责任保险</w:t>
      </w:r>
    </w:p>
    <w:p w:rsidR="006841DD" w:rsidRPr="005D5636" w:rsidRDefault="006841DD" w:rsidP="006841DD">
      <w:pPr>
        <w:widowControl/>
        <w:snapToGrid w:val="0"/>
        <w:spacing w:line="580" w:lineRule="exact"/>
        <w:jc w:val="center"/>
        <w:rPr>
          <w:rFonts w:ascii="方正小标宋简体" w:eastAsia="方正小标宋简体"/>
          <w:sz w:val="44"/>
          <w:szCs w:val="44"/>
        </w:rPr>
      </w:pPr>
      <w:r w:rsidRPr="005D5636">
        <w:rPr>
          <w:rFonts w:ascii="方正小标宋简体" w:eastAsia="方正小标宋简体" w:hint="eastAsia"/>
          <w:sz w:val="44"/>
          <w:szCs w:val="44"/>
        </w:rPr>
        <w:t>保险经纪人比选评审细则</w:t>
      </w:r>
    </w:p>
    <w:p w:rsidR="006841DD" w:rsidRPr="005D5636" w:rsidRDefault="006841DD" w:rsidP="006841DD">
      <w:pPr>
        <w:rPr>
          <w:sz w:val="32"/>
          <w:szCs w:val="32"/>
        </w:rPr>
      </w:pPr>
    </w:p>
    <w:tbl>
      <w:tblPr>
        <w:tblW w:w="9647" w:type="dxa"/>
        <w:jc w:val="center"/>
        <w:tblInd w:w="11" w:type="dxa"/>
        <w:tblLook w:val="04A0"/>
      </w:tblPr>
      <w:tblGrid>
        <w:gridCol w:w="1119"/>
        <w:gridCol w:w="1244"/>
        <w:gridCol w:w="620"/>
        <w:gridCol w:w="553"/>
        <w:gridCol w:w="3430"/>
        <w:gridCol w:w="2681"/>
      </w:tblGrid>
      <w:tr w:rsidR="006841DD" w:rsidRPr="00723D91" w:rsidTr="009E63AE">
        <w:trPr>
          <w:trHeight w:val="270"/>
          <w:jc w:val="center"/>
        </w:trPr>
        <w:tc>
          <w:tcPr>
            <w:tcW w:w="964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6841DD" w:rsidRPr="00723D91" w:rsidRDefault="006841DD" w:rsidP="00A32DF6">
            <w:pPr>
              <w:widowControl/>
              <w:jc w:val="center"/>
              <w:rPr>
                <w:rFonts w:ascii="华文仿宋" w:eastAsia="华文仿宋" w:hAnsi="华文仿宋" w:cs="宋体"/>
                <w:b/>
                <w:bCs/>
                <w:color w:val="000000"/>
                <w:kern w:val="0"/>
                <w:sz w:val="20"/>
                <w:szCs w:val="20"/>
              </w:rPr>
            </w:pPr>
            <w:r w:rsidRPr="00723D91">
              <w:rPr>
                <w:rFonts w:ascii="华文仿宋" w:eastAsia="华文仿宋" w:hAnsi="华文仿宋" w:cs="宋体" w:hint="eastAsia"/>
                <w:b/>
                <w:bCs/>
                <w:color w:val="000000"/>
                <w:kern w:val="0"/>
                <w:sz w:val="20"/>
                <w:szCs w:val="20"/>
              </w:rPr>
              <w:t>资格评审标准</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评审项目</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评 审 标 准</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应选人名称</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与营业执照一致</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应选人资格</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6A02CB">
              <w:rPr>
                <w:rFonts w:ascii="华文仿宋" w:eastAsia="华文仿宋" w:hAnsi="华文仿宋" w:cs="宋体" w:hint="eastAsia"/>
                <w:color w:val="000000"/>
                <w:kern w:val="0"/>
                <w:sz w:val="20"/>
                <w:szCs w:val="20"/>
              </w:rPr>
              <w:t>在深圳市设有经保监部门批准或备案的营业机构</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法定代表人（负责人）授权委托书</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有法定代表人（负责人）签字并加盖单位公章</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应选人承诺函</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有法定代表人（负责人）或被授权人签字并加盖单位公章</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营业执照</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具备有效的营业执照</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经营保险经纪业务许可证</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具备有效的经营保险经纪业务许可证</w:t>
            </w:r>
          </w:p>
        </w:tc>
      </w:tr>
      <w:tr w:rsidR="006841DD" w:rsidRPr="00723D91" w:rsidTr="009E63AE">
        <w:trPr>
          <w:trHeight w:val="51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按照保监会规定缴纳营业保证金或购买职业责任保险的证明材料</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已按要求缴纳或购买</w:t>
            </w:r>
          </w:p>
        </w:tc>
      </w:tr>
      <w:tr w:rsidR="006841DD" w:rsidRPr="00723D91" w:rsidTr="009E63AE">
        <w:trPr>
          <w:trHeight w:val="51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无保险监督管理部门处罚记录</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近五年内应选人法人机构及其分支机构均未被保险监督管理部门处罚过的确认函</w:t>
            </w:r>
          </w:p>
        </w:tc>
      </w:tr>
      <w:tr w:rsidR="006841DD" w:rsidRPr="00723D91" w:rsidTr="009E63AE">
        <w:trPr>
          <w:trHeight w:val="102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近三年内无行贿犯罪记录</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近三年内（即至少从2014年6月开始起算，应选人成立不足三年的可从成立之日起算）无行贿犯罪记录。由应选人营业执照住所地人民检察院出具《行贿犯罪档案查询告知函》。</w:t>
            </w:r>
            <w:proofErr w:type="gramStart"/>
            <w:r w:rsidRPr="00723D91">
              <w:rPr>
                <w:rFonts w:ascii="华文仿宋" w:eastAsia="华文仿宋" w:hAnsi="华文仿宋" w:cs="宋体" w:hint="eastAsia"/>
                <w:color w:val="000000"/>
                <w:kern w:val="0"/>
                <w:sz w:val="20"/>
                <w:szCs w:val="20"/>
              </w:rPr>
              <w:t>告知函自出具</w:t>
            </w:r>
            <w:proofErr w:type="gramEnd"/>
            <w:r w:rsidRPr="00723D91">
              <w:rPr>
                <w:rFonts w:ascii="华文仿宋" w:eastAsia="华文仿宋" w:hAnsi="华文仿宋" w:cs="宋体" w:hint="eastAsia"/>
                <w:color w:val="000000"/>
                <w:kern w:val="0"/>
                <w:sz w:val="20"/>
                <w:szCs w:val="20"/>
              </w:rPr>
              <w:t>之日起2个月内有效，有效期到期日应在本项目的应选公告日之后。</w:t>
            </w:r>
          </w:p>
        </w:tc>
      </w:tr>
      <w:tr w:rsidR="006841DD" w:rsidRPr="00723D91" w:rsidTr="009E63AE">
        <w:trPr>
          <w:trHeight w:val="270"/>
          <w:jc w:val="center"/>
        </w:trPr>
        <w:tc>
          <w:tcPr>
            <w:tcW w:w="3536" w:type="dxa"/>
            <w:gridSpan w:val="4"/>
            <w:tcBorders>
              <w:top w:val="nil"/>
              <w:left w:val="single" w:sz="4" w:space="0" w:color="auto"/>
              <w:bottom w:val="single" w:sz="4" w:space="0" w:color="auto"/>
              <w:right w:val="single" w:sz="4" w:space="0" w:color="auto"/>
            </w:tcBorders>
            <w:shd w:val="clear" w:color="auto" w:fill="auto"/>
            <w:vAlign w:val="center"/>
            <w:hideMark/>
          </w:tcPr>
          <w:p w:rsidR="006841DD" w:rsidRPr="00723D91" w:rsidRDefault="006841DD" w:rsidP="00A32DF6">
            <w:pPr>
              <w:widowControl/>
              <w:jc w:val="center"/>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统一承保项目经验</w:t>
            </w:r>
          </w:p>
        </w:tc>
        <w:tc>
          <w:tcPr>
            <w:tcW w:w="6111" w:type="dxa"/>
            <w:gridSpan w:val="2"/>
            <w:tcBorders>
              <w:top w:val="nil"/>
              <w:left w:val="nil"/>
              <w:bottom w:val="single" w:sz="4" w:space="0" w:color="auto"/>
              <w:right w:val="single" w:sz="4" w:space="0" w:color="auto"/>
            </w:tcBorders>
            <w:shd w:val="clear" w:color="auto" w:fill="auto"/>
            <w:vAlign w:val="center"/>
            <w:hideMark/>
          </w:tcPr>
          <w:p w:rsidR="006841DD" w:rsidRPr="00723D91" w:rsidRDefault="006841DD" w:rsidP="00A32DF6">
            <w:pPr>
              <w:widowControl/>
              <w:jc w:val="left"/>
              <w:rPr>
                <w:rFonts w:ascii="华文仿宋" w:eastAsia="华文仿宋" w:hAnsi="华文仿宋" w:cs="宋体"/>
                <w:color w:val="000000"/>
                <w:kern w:val="0"/>
                <w:sz w:val="20"/>
                <w:szCs w:val="20"/>
              </w:rPr>
            </w:pPr>
            <w:r w:rsidRPr="00723D91">
              <w:rPr>
                <w:rFonts w:ascii="华文仿宋" w:eastAsia="华文仿宋" w:hAnsi="华文仿宋" w:cs="宋体" w:hint="eastAsia"/>
                <w:color w:val="000000"/>
                <w:kern w:val="0"/>
                <w:sz w:val="20"/>
                <w:szCs w:val="20"/>
              </w:rPr>
              <w:t>具有协助政府（县区级及以上）开展统一承保项目的保险经纪服务经验</w:t>
            </w:r>
          </w:p>
        </w:tc>
      </w:tr>
      <w:tr w:rsidR="006841DD" w:rsidRPr="00547BF6" w:rsidTr="009E63AE">
        <w:trPr>
          <w:trHeight w:val="600"/>
          <w:jc w:val="center"/>
        </w:trPr>
        <w:tc>
          <w:tcPr>
            <w:tcW w:w="9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841DD" w:rsidRPr="00547BF6" w:rsidRDefault="006841DD" w:rsidP="00A32DF6">
            <w:pPr>
              <w:widowControl/>
              <w:jc w:val="left"/>
              <w:rPr>
                <w:rFonts w:ascii="华文仿宋" w:eastAsia="华文仿宋" w:hAnsi="华文仿宋" w:cs="宋体"/>
                <w:b/>
                <w:bCs/>
                <w:color w:val="000000"/>
                <w:kern w:val="0"/>
                <w:sz w:val="20"/>
                <w:szCs w:val="20"/>
              </w:rPr>
            </w:pPr>
            <w:r w:rsidRPr="00547BF6">
              <w:rPr>
                <w:rFonts w:ascii="华文仿宋" w:eastAsia="华文仿宋" w:hAnsi="华文仿宋" w:cs="宋体" w:hint="eastAsia"/>
                <w:b/>
                <w:bCs/>
                <w:color w:val="000000"/>
                <w:kern w:val="0"/>
                <w:sz w:val="20"/>
                <w:szCs w:val="20"/>
              </w:rPr>
              <w:t>资格评审说明：以上资格评审条件为强制性条款，其中有一项不符合不能通过资格评审，应选文件作废。</w:t>
            </w:r>
          </w:p>
        </w:tc>
      </w:tr>
      <w:tr w:rsidR="006841DD" w:rsidRPr="007834B4" w:rsidTr="009E63AE">
        <w:trPr>
          <w:trHeight w:val="330"/>
          <w:jc w:val="center"/>
        </w:trPr>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
                <w:bCs/>
                <w:color w:val="000000"/>
                <w:kern w:val="0"/>
                <w:sz w:val="20"/>
                <w:szCs w:val="20"/>
              </w:rPr>
            </w:pPr>
            <w:r w:rsidRPr="00A07BC9">
              <w:rPr>
                <w:rFonts w:ascii="华文仿宋" w:eastAsia="华文仿宋" w:hAnsi="华文仿宋" w:cs="宋体" w:hint="eastAsia"/>
                <w:b/>
                <w:bCs/>
                <w:color w:val="000000"/>
                <w:kern w:val="0"/>
                <w:sz w:val="20"/>
                <w:szCs w:val="20"/>
              </w:rPr>
              <w:t>评分指标</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
                <w:bCs/>
                <w:color w:val="000000"/>
                <w:kern w:val="0"/>
                <w:sz w:val="20"/>
                <w:szCs w:val="20"/>
              </w:rPr>
            </w:pPr>
            <w:r w:rsidRPr="00A07BC9">
              <w:rPr>
                <w:rFonts w:ascii="华文仿宋" w:eastAsia="华文仿宋" w:hAnsi="华文仿宋" w:cs="宋体" w:hint="eastAsia"/>
                <w:b/>
                <w:bCs/>
                <w:color w:val="000000"/>
                <w:kern w:val="0"/>
                <w:sz w:val="20"/>
                <w:szCs w:val="20"/>
              </w:rPr>
              <w:t>评分项目</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
                <w:bCs/>
                <w:color w:val="000000"/>
                <w:kern w:val="0"/>
                <w:sz w:val="20"/>
                <w:szCs w:val="20"/>
              </w:rPr>
            </w:pPr>
            <w:r w:rsidRPr="00A07BC9">
              <w:rPr>
                <w:rFonts w:ascii="华文仿宋" w:eastAsia="华文仿宋" w:hAnsi="华文仿宋" w:cs="宋体" w:hint="eastAsia"/>
                <w:b/>
                <w:bCs/>
                <w:color w:val="000000"/>
                <w:kern w:val="0"/>
                <w:sz w:val="20"/>
                <w:szCs w:val="20"/>
              </w:rPr>
              <w:t>分值</w:t>
            </w:r>
          </w:p>
        </w:tc>
        <w:tc>
          <w:tcPr>
            <w:tcW w:w="3983" w:type="dxa"/>
            <w:gridSpan w:val="2"/>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
                <w:bCs/>
                <w:color w:val="000000"/>
                <w:kern w:val="0"/>
                <w:sz w:val="20"/>
                <w:szCs w:val="20"/>
              </w:rPr>
            </w:pPr>
            <w:r w:rsidRPr="00A07BC9">
              <w:rPr>
                <w:rFonts w:ascii="华文仿宋" w:eastAsia="华文仿宋" w:hAnsi="华文仿宋" w:cs="宋体" w:hint="eastAsia"/>
                <w:b/>
                <w:bCs/>
                <w:color w:val="000000"/>
                <w:kern w:val="0"/>
                <w:sz w:val="20"/>
                <w:szCs w:val="20"/>
              </w:rPr>
              <w:t>评分标准</w:t>
            </w:r>
          </w:p>
        </w:tc>
        <w:tc>
          <w:tcPr>
            <w:tcW w:w="2681"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
                <w:bCs/>
                <w:color w:val="000000"/>
                <w:kern w:val="0"/>
                <w:sz w:val="20"/>
                <w:szCs w:val="20"/>
              </w:rPr>
            </w:pPr>
            <w:r w:rsidRPr="00A07BC9">
              <w:rPr>
                <w:rFonts w:ascii="华文仿宋" w:eastAsia="华文仿宋" w:hAnsi="华文仿宋" w:cs="宋体" w:hint="eastAsia"/>
                <w:b/>
                <w:bCs/>
                <w:color w:val="000000"/>
                <w:kern w:val="0"/>
                <w:sz w:val="20"/>
                <w:szCs w:val="20"/>
              </w:rPr>
              <w:t>评分依据</w:t>
            </w:r>
          </w:p>
        </w:tc>
      </w:tr>
      <w:tr w:rsidR="006841DD" w:rsidRPr="007834B4" w:rsidTr="009E63AE">
        <w:trPr>
          <w:trHeight w:val="330"/>
          <w:jc w:val="center"/>
        </w:trPr>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公司资质和综合实力（23分）</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经营历史</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3</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总公司成立时间：</w:t>
            </w:r>
            <w:r w:rsidRPr="00A07BC9">
              <w:rPr>
                <w:rFonts w:ascii="华文仿宋" w:eastAsia="华文仿宋" w:hAnsi="华文仿宋" w:cs="宋体" w:hint="eastAsia"/>
                <w:bCs/>
                <w:color w:val="000000"/>
                <w:kern w:val="0"/>
                <w:sz w:val="20"/>
                <w:szCs w:val="20"/>
              </w:rPr>
              <w:br/>
              <w:t>10年以上的，得3分；</w:t>
            </w:r>
            <w:r w:rsidRPr="00A07BC9">
              <w:rPr>
                <w:rFonts w:ascii="华文仿宋" w:eastAsia="华文仿宋" w:hAnsi="华文仿宋" w:cs="宋体" w:hint="eastAsia"/>
                <w:bCs/>
                <w:color w:val="000000"/>
                <w:kern w:val="0"/>
                <w:sz w:val="20"/>
                <w:szCs w:val="20"/>
              </w:rPr>
              <w:br/>
              <w:t>6-10年（含）的，得2分；</w:t>
            </w:r>
            <w:r w:rsidRPr="00A07BC9">
              <w:rPr>
                <w:rFonts w:ascii="华文仿宋" w:eastAsia="华文仿宋" w:hAnsi="华文仿宋" w:cs="宋体" w:hint="eastAsia"/>
                <w:bCs/>
                <w:color w:val="000000"/>
                <w:kern w:val="0"/>
                <w:sz w:val="20"/>
                <w:szCs w:val="20"/>
              </w:rPr>
              <w:br/>
              <w:t>0-5年（含）的，得1分。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以营业执照上载明的成立日期为准。</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注册资本金</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3</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总公司注册资本金在：</w:t>
            </w:r>
            <w:r w:rsidRPr="00A07BC9">
              <w:rPr>
                <w:rFonts w:ascii="华文仿宋" w:eastAsia="华文仿宋" w:hAnsi="华文仿宋" w:cs="宋体" w:hint="eastAsia"/>
                <w:bCs/>
                <w:color w:val="000000"/>
                <w:kern w:val="0"/>
                <w:sz w:val="20"/>
                <w:szCs w:val="20"/>
              </w:rPr>
              <w:br/>
              <w:t>人民币5000万元（含）以上的，得3分；</w:t>
            </w:r>
            <w:r w:rsidRPr="00A07BC9">
              <w:rPr>
                <w:rFonts w:ascii="华文仿宋" w:eastAsia="华文仿宋" w:hAnsi="华文仿宋" w:cs="宋体" w:hint="eastAsia"/>
                <w:bCs/>
                <w:color w:val="000000"/>
                <w:kern w:val="0"/>
                <w:sz w:val="20"/>
                <w:szCs w:val="20"/>
              </w:rPr>
              <w:br/>
              <w:t>人民币2000万元（含）至5000万元，得2分；</w:t>
            </w:r>
            <w:r w:rsidRPr="00A07BC9">
              <w:rPr>
                <w:rFonts w:ascii="华文仿宋" w:eastAsia="华文仿宋" w:hAnsi="华文仿宋" w:cs="宋体" w:hint="eastAsia"/>
                <w:bCs/>
                <w:color w:val="000000"/>
                <w:kern w:val="0"/>
                <w:sz w:val="20"/>
                <w:szCs w:val="20"/>
              </w:rPr>
              <w:br/>
              <w:t>人民币1000万元（含）至2000万元，得1分。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以加盖应选人公章的国家企业信用信息公示系统——企业信用信息公示报告上载明的注册资本为准。</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本地化服务人员数量</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5</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深圳市常驻服务人员数量在：</w:t>
            </w:r>
            <w:r w:rsidRPr="00A07BC9">
              <w:rPr>
                <w:rFonts w:ascii="华文仿宋" w:eastAsia="华文仿宋" w:hAnsi="华文仿宋" w:cs="宋体" w:hint="eastAsia"/>
                <w:bCs/>
                <w:color w:val="000000"/>
                <w:kern w:val="0"/>
                <w:sz w:val="20"/>
                <w:szCs w:val="20"/>
              </w:rPr>
              <w:br/>
              <w:t>30人（含）以上，得5分；</w:t>
            </w:r>
            <w:r w:rsidRPr="00A07BC9">
              <w:rPr>
                <w:rFonts w:ascii="华文仿宋" w:eastAsia="华文仿宋" w:hAnsi="华文仿宋" w:cs="宋体" w:hint="eastAsia"/>
                <w:bCs/>
                <w:color w:val="000000"/>
                <w:kern w:val="0"/>
                <w:sz w:val="20"/>
                <w:szCs w:val="20"/>
              </w:rPr>
              <w:br/>
              <w:t>20人（含）—40人，得3分；</w:t>
            </w:r>
            <w:r w:rsidRPr="00A07BC9">
              <w:rPr>
                <w:rFonts w:ascii="华文仿宋" w:eastAsia="华文仿宋" w:hAnsi="华文仿宋" w:cs="宋体" w:hint="eastAsia"/>
                <w:bCs/>
                <w:color w:val="000000"/>
                <w:kern w:val="0"/>
                <w:sz w:val="20"/>
                <w:szCs w:val="20"/>
              </w:rPr>
              <w:br/>
              <w:t>20人以下，得1分。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以应选日期之前近3个月内任意一月在深圳地区的缴纳社保清单为准。</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在深圳地区</w:t>
            </w:r>
            <w:r w:rsidRPr="00A07BC9">
              <w:rPr>
                <w:rFonts w:ascii="华文仿宋" w:eastAsia="华文仿宋" w:hAnsi="华文仿宋" w:cs="宋体" w:hint="eastAsia"/>
                <w:bCs/>
                <w:color w:val="000000"/>
                <w:kern w:val="0"/>
                <w:sz w:val="20"/>
                <w:szCs w:val="20"/>
              </w:rPr>
              <w:lastRenderedPageBreak/>
              <w:t>的纳税额</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lastRenderedPageBreak/>
              <w:t>4</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2016年在深圳市纳税额达（国税和地税）：</w:t>
            </w:r>
            <w:r w:rsidRPr="00A07BC9">
              <w:rPr>
                <w:rFonts w:ascii="华文仿宋" w:eastAsia="华文仿宋" w:hAnsi="华文仿宋" w:cs="宋体" w:hint="eastAsia"/>
                <w:bCs/>
                <w:color w:val="000000"/>
                <w:kern w:val="0"/>
                <w:sz w:val="20"/>
                <w:szCs w:val="20"/>
              </w:rPr>
              <w:br/>
            </w:r>
            <w:r w:rsidRPr="00A07BC9">
              <w:rPr>
                <w:rFonts w:ascii="华文仿宋" w:eastAsia="华文仿宋" w:hAnsi="华文仿宋" w:cs="宋体" w:hint="eastAsia"/>
                <w:bCs/>
                <w:color w:val="000000"/>
                <w:kern w:val="0"/>
                <w:sz w:val="20"/>
                <w:szCs w:val="20"/>
              </w:rPr>
              <w:lastRenderedPageBreak/>
              <w:t>人民币80万元（含）及以上的，得4分；</w:t>
            </w:r>
            <w:r w:rsidRPr="00A07BC9">
              <w:rPr>
                <w:rFonts w:ascii="华文仿宋" w:eastAsia="华文仿宋" w:hAnsi="华文仿宋" w:cs="宋体" w:hint="eastAsia"/>
                <w:bCs/>
                <w:color w:val="000000"/>
                <w:kern w:val="0"/>
                <w:sz w:val="20"/>
                <w:szCs w:val="20"/>
              </w:rPr>
              <w:br/>
              <w:t>人民币50万元（含）—80万元的，得2分；</w:t>
            </w:r>
            <w:r w:rsidRPr="00A07BC9">
              <w:rPr>
                <w:rFonts w:ascii="华文仿宋" w:eastAsia="华文仿宋" w:hAnsi="华文仿宋" w:cs="宋体" w:hint="eastAsia"/>
                <w:bCs/>
                <w:color w:val="000000"/>
                <w:kern w:val="0"/>
                <w:sz w:val="20"/>
                <w:szCs w:val="20"/>
              </w:rPr>
              <w:br/>
              <w:t>人民币50万以下的，得1分；</w:t>
            </w:r>
            <w:r w:rsidRPr="00A07BC9">
              <w:rPr>
                <w:rFonts w:ascii="华文仿宋" w:eastAsia="华文仿宋" w:hAnsi="华文仿宋" w:cs="宋体" w:hint="eastAsia"/>
                <w:bCs/>
                <w:color w:val="000000"/>
                <w:kern w:val="0"/>
                <w:sz w:val="20"/>
                <w:szCs w:val="20"/>
              </w:rPr>
              <w:br/>
              <w:t>没有的，不得分。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lastRenderedPageBreak/>
              <w:t>提供税务机关（含国税、地</w:t>
            </w:r>
            <w:r w:rsidRPr="00A07BC9">
              <w:rPr>
                <w:rFonts w:ascii="华文仿宋" w:eastAsia="华文仿宋" w:hAnsi="华文仿宋" w:cs="宋体" w:hint="eastAsia"/>
                <w:bCs/>
                <w:color w:val="000000"/>
                <w:kern w:val="0"/>
                <w:sz w:val="20"/>
                <w:szCs w:val="20"/>
              </w:rPr>
              <w:lastRenderedPageBreak/>
              <w:t>税）出具的纳税证明。</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具有项目信息技术服务平台建设</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能力</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4</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已建立现代化互联网信息技术服务平台，</w:t>
            </w:r>
            <w:proofErr w:type="gramStart"/>
            <w:r w:rsidRPr="00A07BC9">
              <w:rPr>
                <w:rFonts w:ascii="华文仿宋" w:eastAsia="华文仿宋" w:hAnsi="华文仿宋" w:cs="宋体" w:hint="eastAsia"/>
                <w:bCs/>
                <w:color w:val="000000"/>
                <w:kern w:val="0"/>
                <w:sz w:val="20"/>
                <w:szCs w:val="20"/>
              </w:rPr>
              <w:t>每建立</w:t>
            </w:r>
            <w:proofErr w:type="gramEnd"/>
            <w:r w:rsidRPr="00A07BC9">
              <w:rPr>
                <w:rFonts w:ascii="华文仿宋" w:eastAsia="华文仿宋" w:hAnsi="华文仿宋" w:cs="宋体" w:hint="eastAsia"/>
                <w:bCs/>
                <w:color w:val="000000"/>
                <w:kern w:val="0"/>
                <w:sz w:val="20"/>
                <w:szCs w:val="20"/>
              </w:rPr>
              <w:t>一个有效的互联网技术平台得1分，最高不超过4分；未建立现代化互联网信息技术平台，但公司有信息技术平台开发能力的，得1分。</w:t>
            </w:r>
            <w:r w:rsidRPr="00A07BC9">
              <w:rPr>
                <w:rFonts w:ascii="华文仿宋" w:eastAsia="华文仿宋" w:hAnsi="华文仿宋" w:cs="宋体" w:hint="eastAsia"/>
                <w:bCs/>
                <w:color w:val="000000"/>
                <w:kern w:val="0"/>
                <w:sz w:val="20"/>
                <w:szCs w:val="20"/>
              </w:rPr>
              <w:br/>
              <w:t>其余的，不得分。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以提供的技术平台清单为准，</w:t>
            </w:r>
            <w:r w:rsidRPr="00A07BC9">
              <w:rPr>
                <w:rFonts w:ascii="华文仿宋" w:eastAsia="华文仿宋" w:hAnsi="华文仿宋" w:cs="宋体" w:hint="eastAsia"/>
                <w:bCs/>
                <w:color w:val="000000"/>
                <w:kern w:val="0"/>
                <w:sz w:val="20"/>
                <w:szCs w:val="20"/>
              </w:rPr>
              <w:br/>
              <w:t>或以能证明公司有信息技术平台开发能力的相关材料为准。</w:t>
            </w:r>
            <w:r w:rsidRPr="00A07BC9">
              <w:rPr>
                <w:rFonts w:ascii="华文仿宋" w:eastAsia="华文仿宋" w:hAnsi="华文仿宋" w:cs="宋体" w:hint="eastAsia"/>
                <w:bCs/>
                <w:color w:val="000000"/>
                <w:kern w:val="0"/>
                <w:sz w:val="20"/>
                <w:szCs w:val="20"/>
              </w:rPr>
              <w:br/>
            </w:r>
            <w:r w:rsidRPr="00A07BC9">
              <w:rPr>
                <w:rFonts w:ascii="华文仿宋" w:eastAsia="华文仿宋" w:hAnsi="华文仿宋" w:cs="宋体" w:hint="eastAsia"/>
                <w:bCs/>
                <w:color w:val="000000"/>
                <w:kern w:val="0"/>
                <w:sz w:val="20"/>
                <w:szCs w:val="20"/>
              </w:rPr>
              <w:br/>
              <w:t>有效的互联网技术平台是指具有专利号且已经投入使用的技术平台；有信息技术平台开发能力是指应选人设有技术职能部门的、拥有信息技术类子公司或与外包技术公司建立合作关系的。</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公益慈善及所获荣誉</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4</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2016年从事慈善事业的，每捐赠10万元得1分，或获得过全国性保险行业或政府监管部门荣誉的，每获得一项得1分，两项合计最高不超过4分；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以参加社会公益、慈善事业的相关捐赠收据或票据为证明材料；或以获得的奖牌、荣誉证书等可以证明其获得荣誉的材料为准。</w:t>
            </w:r>
          </w:p>
        </w:tc>
      </w:tr>
      <w:tr w:rsidR="006841DD" w:rsidRPr="007834B4" w:rsidTr="009E63AE">
        <w:trPr>
          <w:trHeight w:val="330"/>
          <w:jc w:val="center"/>
        </w:trPr>
        <w:tc>
          <w:tcPr>
            <w:tcW w:w="1119" w:type="dxa"/>
            <w:vMerge w:val="restart"/>
            <w:tcBorders>
              <w:top w:val="single" w:sz="4" w:space="0" w:color="auto"/>
              <w:left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项目操作经验</w:t>
            </w:r>
            <w:r w:rsidRPr="00A07BC9">
              <w:rPr>
                <w:rFonts w:ascii="华文仿宋" w:eastAsia="华文仿宋" w:hAnsi="华文仿宋" w:cs="宋体" w:hint="eastAsia"/>
                <w:bCs/>
                <w:color w:val="000000"/>
                <w:kern w:val="0"/>
                <w:sz w:val="20"/>
                <w:szCs w:val="20"/>
              </w:rPr>
              <w:br/>
              <w:t>（27分）</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统一承保</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项目经验</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15</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具有协助政府（县区级及以上）开展统一承保项目的保险经纪服务经验，每个得3分，满分15分。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提供经纪服务协议、服务合同、委托书、框架协议任</w:t>
            </w:r>
            <w:proofErr w:type="gramStart"/>
            <w:r w:rsidRPr="00A07BC9">
              <w:rPr>
                <w:rFonts w:ascii="华文仿宋" w:eastAsia="华文仿宋" w:hAnsi="华文仿宋" w:cs="宋体" w:hint="eastAsia"/>
                <w:bCs/>
                <w:color w:val="000000"/>
                <w:kern w:val="0"/>
                <w:sz w:val="20"/>
                <w:szCs w:val="20"/>
              </w:rPr>
              <w:t>一</w:t>
            </w:r>
            <w:proofErr w:type="gramEnd"/>
            <w:r w:rsidRPr="00A07BC9">
              <w:rPr>
                <w:rFonts w:ascii="华文仿宋" w:eastAsia="华文仿宋" w:hAnsi="华文仿宋" w:cs="宋体" w:hint="eastAsia"/>
                <w:bCs/>
                <w:color w:val="000000"/>
                <w:kern w:val="0"/>
                <w:sz w:val="20"/>
                <w:szCs w:val="20"/>
              </w:rPr>
              <w:t>证明材料。</w:t>
            </w:r>
          </w:p>
        </w:tc>
      </w:tr>
      <w:tr w:rsidR="006841DD" w:rsidRPr="007834B4" w:rsidTr="009E63AE">
        <w:trPr>
          <w:trHeight w:val="330"/>
          <w:jc w:val="center"/>
        </w:trPr>
        <w:tc>
          <w:tcPr>
            <w:tcW w:w="1119" w:type="dxa"/>
            <w:vMerge/>
            <w:tcBorders>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保险理赔</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经验</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12</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每提供一个理赔金额20万元（含）以上的责任保险理赔案例，每一项得3分，满分12分。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提供保险经纪服务协议，并以清单形式列明，同时提供对应的理赔证明材料，如赔款计算书、赔款支付证明等证明赔案真实性的相关资料。</w:t>
            </w:r>
          </w:p>
        </w:tc>
      </w:tr>
      <w:tr w:rsidR="006841DD" w:rsidRPr="007834B4" w:rsidTr="009E63AE">
        <w:trPr>
          <w:trHeight w:val="330"/>
          <w:jc w:val="center"/>
        </w:trPr>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项目服务保障</w:t>
            </w:r>
            <w:r w:rsidRPr="00A07BC9">
              <w:rPr>
                <w:rFonts w:ascii="华文仿宋" w:eastAsia="华文仿宋" w:hAnsi="华文仿宋" w:cs="宋体" w:hint="eastAsia"/>
                <w:bCs/>
                <w:color w:val="000000"/>
                <w:kern w:val="0"/>
                <w:sz w:val="20"/>
                <w:szCs w:val="20"/>
              </w:rPr>
              <w:br/>
              <w:t>（10分）</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电话服务</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平台</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1</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设有24小时服务热线电话的（包括借助其他平台提供24小时热线服务的情形）得1分；未设置24小时服务热线电话的，不得分。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提供可以证明其存在真实性的材料。</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服务团队</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专业水平</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4</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服务团队的组建应在保障人员充足的基础上，充分体现经纪公司的专业技术水平，服务团队20人以上，且其中含有保险或风险管理专业本科及以上学历人员，每人1分，满分不超过2分；具有保险业从业经验5年（含）以上的人员，每人1分，满分不超过2分；共计4分且同</w:t>
            </w:r>
            <w:proofErr w:type="gramStart"/>
            <w:r w:rsidRPr="00A07BC9">
              <w:rPr>
                <w:rFonts w:ascii="华文仿宋" w:eastAsia="华文仿宋" w:hAnsi="华文仿宋" w:cs="宋体" w:hint="eastAsia"/>
                <w:bCs/>
                <w:color w:val="000000"/>
                <w:kern w:val="0"/>
                <w:sz w:val="20"/>
                <w:szCs w:val="20"/>
              </w:rPr>
              <w:t>一人员</w:t>
            </w:r>
            <w:proofErr w:type="gramEnd"/>
            <w:r w:rsidRPr="00A07BC9">
              <w:rPr>
                <w:rFonts w:ascii="华文仿宋" w:eastAsia="华文仿宋" w:hAnsi="华文仿宋" w:cs="宋体" w:hint="eastAsia"/>
                <w:bCs/>
                <w:color w:val="000000"/>
                <w:kern w:val="0"/>
                <w:sz w:val="20"/>
                <w:szCs w:val="20"/>
              </w:rPr>
              <w:t>不重复计分。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学历以毕业证书复印件为准；从业经验以应选人可以提供的证明材料为准，例如，在保险业企业缴纳社保的起期证明、经纪人资格证、执业证、保险中级职称证书等证明材料。</w:t>
            </w:r>
          </w:p>
        </w:tc>
      </w:tr>
      <w:tr w:rsidR="006841DD" w:rsidRPr="007834B4" w:rsidTr="009E63AE">
        <w:trPr>
          <w:trHeight w:val="330"/>
          <w:jc w:val="center"/>
        </w:trPr>
        <w:tc>
          <w:tcPr>
            <w:tcW w:w="111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服务场地</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情况</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5</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应选人应拥有足够的办公服务场地，用于成立本项目服务运营中心，运营中心面积不得</w:t>
            </w:r>
            <w:r w:rsidRPr="00A07BC9">
              <w:rPr>
                <w:rFonts w:ascii="华文仿宋" w:eastAsia="华文仿宋" w:hAnsi="华文仿宋" w:cs="宋体" w:hint="eastAsia"/>
                <w:bCs/>
                <w:color w:val="000000"/>
                <w:kern w:val="0"/>
                <w:sz w:val="20"/>
                <w:szCs w:val="20"/>
              </w:rPr>
              <w:lastRenderedPageBreak/>
              <w:t>少于50平方米。办公服务场地面积在：</w:t>
            </w:r>
            <w:r w:rsidRPr="00A07BC9">
              <w:rPr>
                <w:rFonts w:ascii="华文仿宋" w:eastAsia="华文仿宋" w:hAnsi="华文仿宋" w:cs="宋体" w:hint="eastAsia"/>
                <w:bCs/>
                <w:color w:val="000000"/>
                <w:kern w:val="0"/>
                <w:sz w:val="20"/>
                <w:szCs w:val="20"/>
              </w:rPr>
              <w:br w:type="page"/>
              <w:t>800平米及以上，得5分；</w:t>
            </w:r>
            <w:r w:rsidRPr="00A07BC9">
              <w:rPr>
                <w:rFonts w:ascii="华文仿宋" w:eastAsia="华文仿宋" w:hAnsi="华文仿宋" w:cs="宋体" w:hint="eastAsia"/>
                <w:bCs/>
                <w:color w:val="000000"/>
                <w:kern w:val="0"/>
                <w:sz w:val="20"/>
                <w:szCs w:val="20"/>
              </w:rPr>
              <w:br w:type="page"/>
              <w:t>300—800平方米的，得3分；</w:t>
            </w:r>
            <w:r w:rsidRPr="00A07BC9">
              <w:rPr>
                <w:rFonts w:ascii="华文仿宋" w:eastAsia="华文仿宋" w:hAnsi="华文仿宋" w:cs="宋体" w:hint="eastAsia"/>
                <w:bCs/>
                <w:color w:val="000000"/>
                <w:kern w:val="0"/>
                <w:sz w:val="20"/>
                <w:szCs w:val="20"/>
              </w:rPr>
              <w:br w:type="page"/>
              <w:t>300平方米及以下的，得1分。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lastRenderedPageBreak/>
              <w:t>以营业场所租赁合同所载明的租赁面积为准，如为自有</w:t>
            </w:r>
            <w:r w:rsidRPr="00A07BC9">
              <w:rPr>
                <w:rFonts w:ascii="华文仿宋" w:eastAsia="华文仿宋" w:hAnsi="华文仿宋" w:cs="宋体" w:hint="eastAsia"/>
                <w:bCs/>
                <w:color w:val="000000"/>
                <w:kern w:val="0"/>
                <w:sz w:val="20"/>
                <w:szCs w:val="20"/>
              </w:rPr>
              <w:lastRenderedPageBreak/>
              <w:t>房产以产权证所载明使用面积为准。</w:t>
            </w:r>
          </w:p>
        </w:tc>
      </w:tr>
      <w:tr w:rsidR="006841DD" w:rsidRPr="007834B4" w:rsidTr="009E63AE">
        <w:trPr>
          <w:trHeight w:val="330"/>
          <w:jc w:val="center"/>
        </w:trPr>
        <w:tc>
          <w:tcPr>
            <w:tcW w:w="1119" w:type="dxa"/>
            <w:vMerge w:val="restart"/>
            <w:tcBorders>
              <w:top w:val="single" w:sz="4" w:space="0" w:color="auto"/>
              <w:left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roofErr w:type="gramStart"/>
            <w:r>
              <w:rPr>
                <w:rFonts w:ascii="华文仿宋" w:eastAsia="华文仿宋" w:hAnsi="华文仿宋" w:cs="宋体" w:hint="eastAsia"/>
                <w:bCs/>
                <w:color w:val="000000"/>
                <w:kern w:val="0"/>
                <w:sz w:val="20"/>
                <w:szCs w:val="20"/>
              </w:rPr>
              <w:lastRenderedPageBreak/>
              <w:t>食责险项目</w:t>
            </w:r>
            <w:proofErr w:type="gramEnd"/>
            <w:r>
              <w:rPr>
                <w:rFonts w:ascii="华文仿宋" w:eastAsia="华文仿宋" w:hAnsi="华文仿宋" w:cs="宋体"/>
                <w:bCs/>
                <w:color w:val="000000"/>
                <w:kern w:val="0"/>
                <w:sz w:val="20"/>
                <w:szCs w:val="20"/>
              </w:rPr>
              <w:t>实施方案</w:t>
            </w:r>
            <w:r w:rsidRPr="00A07BC9">
              <w:rPr>
                <w:rFonts w:ascii="华文仿宋" w:eastAsia="华文仿宋" w:hAnsi="华文仿宋" w:cs="宋体" w:hint="eastAsia"/>
                <w:bCs/>
                <w:color w:val="000000"/>
                <w:kern w:val="0"/>
                <w:sz w:val="20"/>
                <w:szCs w:val="20"/>
              </w:rPr>
              <w:br/>
              <w:t>（40分）</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保险方案</w:t>
            </w:r>
            <w:r w:rsidRPr="00A07BC9">
              <w:rPr>
                <w:rFonts w:ascii="华文仿宋" w:eastAsia="华文仿宋" w:hAnsi="华文仿宋" w:cs="宋体" w:hint="eastAsia"/>
                <w:bCs/>
                <w:color w:val="000000"/>
                <w:kern w:val="0"/>
                <w:sz w:val="20"/>
                <w:szCs w:val="20"/>
              </w:rPr>
              <w:br/>
              <w:t>设计思路</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7</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提出的保险产品设计初步方案科学合理、最能够满足项目风险转嫁需求的保险方案得7分，其余酌情给分。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proofErr w:type="gramStart"/>
            <w:r w:rsidRPr="00A07BC9">
              <w:rPr>
                <w:rFonts w:ascii="华文仿宋" w:eastAsia="华文仿宋" w:hAnsi="华文仿宋" w:cs="宋体" w:hint="eastAsia"/>
                <w:bCs/>
                <w:color w:val="000000"/>
                <w:kern w:val="0"/>
                <w:sz w:val="20"/>
                <w:szCs w:val="20"/>
              </w:rPr>
              <w:t>视风险</w:t>
            </w:r>
            <w:proofErr w:type="gramEnd"/>
            <w:r w:rsidRPr="00A07BC9">
              <w:rPr>
                <w:rFonts w:ascii="华文仿宋" w:eastAsia="华文仿宋" w:hAnsi="华文仿宋" w:cs="宋体" w:hint="eastAsia"/>
                <w:bCs/>
                <w:color w:val="000000"/>
                <w:kern w:val="0"/>
                <w:sz w:val="20"/>
                <w:szCs w:val="20"/>
              </w:rPr>
              <w:t>转嫁程度而定。</w:t>
            </w:r>
          </w:p>
        </w:tc>
      </w:tr>
      <w:tr w:rsidR="006841DD" w:rsidRPr="007834B4" w:rsidTr="009E63AE">
        <w:trPr>
          <w:trHeight w:val="330"/>
          <w:jc w:val="center"/>
        </w:trPr>
        <w:tc>
          <w:tcPr>
            <w:tcW w:w="1119" w:type="dxa"/>
            <w:vMerge/>
            <w:tcBorders>
              <w:left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投保机制</w:t>
            </w:r>
            <w:r w:rsidRPr="00A07BC9">
              <w:rPr>
                <w:rFonts w:ascii="华文仿宋" w:eastAsia="华文仿宋" w:hAnsi="华文仿宋" w:cs="宋体" w:hint="eastAsia"/>
                <w:bCs/>
                <w:color w:val="000000"/>
                <w:kern w:val="0"/>
                <w:sz w:val="20"/>
                <w:szCs w:val="20"/>
              </w:rPr>
              <w:br/>
              <w:t>设计思路</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7</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提出的投保环节相关机制，最能够满足项目投保需要，有益于投保人操作得7分，其余酌情给分。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视投保操作便捷程度而定。</w:t>
            </w:r>
          </w:p>
        </w:tc>
      </w:tr>
      <w:tr w:rsidR="006841DD" w:rsidRPr="007834B4" w:rsidTr="009E63AE">
        <w:trPr>
          <w:trHeight w:val="330"/>
          <w:jc w:val="center"/>
        </w:trPr>
        <w:tc>
          <w:tcPr>
            <w:tcW w:w="1119" w:type="dxa"/>
            <w:vMerge/>
            <w:tcBorders>
              <w:left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理赔机制</w:t>
            </w:r>
            <w:r w:rsidRPr="00A07BC9">
              <w:rPr>
                <w:rFonts w:ascii="华文仿宋" w:eastAsia="华文仿宋" w:hAnsi="华文仿宋" w:cs="宋体" w:hint="eastAsia"/>
                <w:bCs/>
                <w:color w:val="000000"/>
                <w:kern w:val="0"/>
                <w:sz w:val="20"/>
                <w:szCs w:val="20"/>
              </w:rPr>
              <w:br/>
              <w:t>设计思路</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7</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提出的保险理赔初步方案，最能充分维护被保险人利益，且高效的理赔机制得7分，其余酌情给分。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视理赔方案的合理高效程度而定。</w:t>
            </w:r>
          </w:p>
        </w:tc>
      </w:tr>
      <w:tr w:rsidR="006841DD" w:rsidRPr="007834B4" w:rsidTr="009E63AE">
        <w:trPr>
          <w:trHeight w:val="330"/>
          <w:jc w:val="center"/>
        </w:trPr>
        <w:tc>
          <w:tcPr>
            <w:tcW w:w="1119" w:type="dxa"/>
            <w:vMerge/>
            <w:tcBorders>
              <w:left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共治机制</w:t>
            </w:r>
            <w:r w:rsidRPr="00A07BC9">
              <w:rPr>
                <w:rFonts w:ascii="华文仿宋" w:eastAsia="华文仿宋" w:hAnsi="华文仿宋" w:cs="宋体" w:hint="eastAsia"/>
                <w:bCs/>
                <w:color w:val="000000"/>
                <w:kern w:val="0"/>
                <w:sz w:val="20"/>
                <w:szCs w:val="20"/>
              </w:rPr>
              <w:br/>
              <w:t>设计思路</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12</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合理引入第三</w:t>
            </w:r>
            <w:proofErr w:type="gramStart"/>
            <w:r w:rsidRPr="00A07BC9">
              <w:rPr>
                <w:rFonts w:ascii="华文仿宋" w:eastAsia="华文仿宋" w:hAnsi="华文仿宋" w:cs="宋体" w:hint="eastAsia"/>
                <w:bCs/>
                <w:color w:val="000000"/>
                <w:kern w:val="0"/>
                <w:sz w:val="20"/>
                <w:szCs w:val="20"/>
              </w:rPr>
              <w:t>方食品</w:t>
            </w:r>
            <w:proofErr w:type="gramEnd"/>
            <w:r w:rsidRPr="00A07BC9">
              <w:rPr>
                <w:rFonts w:ascii="华文仿宋" w:eastAsia="华文仿宋" w:hAnsi="华文仿宋" w:cs="宋体" w:hint="eastAsia"/>
                <w:bCs/>
                <w:color w:val="000000"/>
                <w:kern w:val="0"/>
                <w:sz w:val="20"/>
                <w:szCs w:val="20"/>
              </w:rPr>
              <w:t>检测、监督、服务等相关机构，整合第三方资源，共同建立风险预防机制，以促进深圳市食品安全体系建设。提出的社会共治方案具有科学性及可操作性的，得12分，其余酌情给分。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视社会共治机制的科学性、可操作性而定。</w:t>
            </w:r>
          </w:p>
        </w:tc>
      </w:tr>
      <w:tr w:rsidR="006841DD" w:rsidRPr="007834B4" w:rsidTr="009E63AE">
        <w:trPr>
          <w:trHeight w:val="330"/>
          <w:jc w:val="center"/>
        </w:trPr>
        <w:tc>
          <w:tcPr>
            <w:tcW w:w="1119" w:type="dxa"/>
            <w:vMerge/>
            <w:tcBorders>
              <w:left w:val="single" w:sz="4" w:space="0" w:color="auto"/>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6841DD"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保险安排</w:t>
            </w:r>
          </w:p>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方案</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841DD" w:rsidRPr="00A07BC9" w:rsidRDefault="006841DD"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7</w:t>
            </w:r>
          </w:p>
        </w:tc>
        <w:tc>
          <w:tcPr>
            <w:tcW w:w="3983" w:type="dxa"/>
            <w:gridSpan w:val="2"/>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充分体现了经纪人保险安排能力，提出的项目保险安排初步方案科学合理，且具有可操作性的得7分，其余酌情给分。</w:t>
            </w:r>
          </w:p>
        </w:tc>
        <w:tc>
          <w:tcPr>
            <w:tcW w:w="2681" w:type="dxa"/>
            <w:tcBorders>
              <w:top w:val="single" w:sz="4" w:space="0" w:color="auto"/>
              <w:left w:val="nil"/>
              <w:bottom w:val="single" w:sz="4" w:space="0" w:color="auto"/>
              <w:right w:val="single" w:sz="4" w:space="0" w:color="auto"/>
            </w:tcBorders>
            <w:shd w:val="clear" w:color="000000" w:fill="FFFFFF"/>
            <w:hideMark/>
          </w:tcPr>
          <w:p w:rsidR="006841DD" w:rsidRPr="00A07BC9" w:rsidRDefault="006841DD" w:rsidP="00A32DF6">
            <w:pPr>
              <w:widowControl/>
              <w:rPr>
                <w:rFonts w:ascii="华文仿宋" w:eastAsia="华文仿宋" w:hAnsi="华文仿宋" w:cs="宋体"/>
                <w:bCs/>
                <w:color w:val="000000"/>
                <w:kern w:val="0"/>
                <w:sz w:val="20"/>
                <w:szCs w:val="20"/>
              </w:rPr>
            </w:pPr>
            <w:proofErr w:type="gramStart"/>
            <w:r w:rsidRPr="00A07BC9">
              <w:rPr>
                <w:rFonts w:ascii="华文仿宋" w:eastAsia="华文仿宋" w:hAnsi="华文仿宋" w:cs="宋体" w:hint="eastAsia"/>
                <w:bCs/>
                <w:color w:val="000000"/>
                <w:kern w:val="0"/>
                <w:sz w:val="20"/>
                <w:szCs w:val="20"/>
              </w:rPr>
              <w:t>视保险</w:t>
            </w:r>
            <w:proofErr w:type="gramEnd"/>
            <w:r w:rsidRPr="00A07BC9">
              <w:rPr>
                <w:rFonts w:ascii="华文仿宋" w:eastAsia="华文仿宋" w:hAnsi="华文仿宋" w:cs="宋体" w:hint="eastAsia"/>
                <w:bCs/>
                <w:color w:val="000000"/>
                <w:kern w:val="0"/>
                <w:sz w:val="20"/>
                <w:szCs w:val="20"/>
              </w:rPr>
              <w:t>安排方案的科学合理及可操作性而定。</w:t>
            </w:r>
          </w:p>
        </w:tc>
      </w:tr>
      <w:tr w:rsidR="009E63AE" w:rsidRPr="007834B4" w:rsidTr="009E63AE">
        <w:trPr>
          <w:trHeight w:val="330"/>
          <w:jc w:val="center"/>
        </w:trPr>
        <w:tc>
          <w:tcPr>
            <w:tcW w:w="1119" w:type="dxa"/>
            <w:tcBorders>
              <w:left w:val="single" w:sz="4" w:space="0" w:color="auto"/>
              <w:bottom w:val="single" w:sz="4" w:space="0" w:color="auto"/>
              <w:right w:val="single" w:sz="4" w:space="0" w:color="auto"/>
            </w:tcBorders>
            <w:shd w:val="clear" w:color="000000" w:fill="FFFFFF"/>
            <w:vAlign w:val="center"/>
            <w:hideMark/>
          </w:tcPr>
          <w:p w:rsidR="009E63AE" w:rsidRPr="00A07BC9" w:rsidRDefault="009E63AE" w:rsidP="00A32DF6">
            <w:pPr>
              <w:widowControl/>
              <w:jc w:val="center"/>
              <w:rPr>
                <w:rFonts w:ascii="华文仿宋" w:eastAsia="华文仿宋" w:hAnsi="华文仿宋" w:cs="宋体"/>
                <w:bCs/>
                <w:color w:val="000000"/>
                <w:kern w:val="0"/>
                <w:sz w:val="20"/>
                <w:szCs w:val="20"/>
              </w:rPr>
            </w:pPr>
            <w:r w:rsidRPr="00A07BC9">
              <w:rPr>
                <w:rFonts w:ascii="华文仿宋" w:eastAsia="华文仿宋" w:hAnsi="华文仿宋" w:cs="宋体" w:hint="eastAsia"/>
                <w:bCs/>
                <w:color w:val="000000"/>
                <w:kern w:val="0"/>
                <w:sz w:val="20"/>
                <w:szCs w:val="20"/>
              </w:rPr>
              <w:t>最终得分</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9E63AE" w:rsidRPr="00A07BC9" w:rsidRDefault="009E63AE" w:rsidP="00A32DF6">
            <w:pPr>
              <w:widowControl/>
              <w:jc w:val="center"/>
              <w:rPr>
                <w:rFonts w:ascii="华文仿宋" w:eastAsia="华文仿宋" w:hAnsi="华文仿宋" w:cs="宋体" w:hint="eastAsia"/>
                <w:bCs/>
                <w:color w:val="000000"/>
                <w:kern w:val="0"/>
                <w:sz w:val="20"/>
                <w:szCs w:val="20"/>
              </w:rPr>
            </w:pPr>
            <w:r w:rsidRPr="00A07BC9">
              <w:rPr>
                <w:rFonts w:ascii="华文仿宋" w:eastAsia="华文仿宋" w:hAnsi="华文仿宋" w:cs="宋体" w:hint="eastAsia"/>
                <w:color w:val="000000"/>
                <w:kern w:val="0"/>
                <w:sz w:val="20"/>
                <w:szCs w:val="20"/>
              </w:rPr>
              <w:t>计算方式</w:t>
            </w:r>
          </w:p>
        </w:tc>
        <w:tc>
          <w:tcPr>
            <w:tcW w:w="7284" w:type="dxa"/>
            <w:gridSpan w:val="4"/>
            <w:tcBorders>
              <w:top w:val="single" w:sz="4" w:space="0" w:color="auto"/>
              <w:left w:val="nil"/>
              <w:bottom w:val="single" w:sz="4" w:space="0" w:color="auto"/>
              <w:right w:val="single" w:sz="4" w:space="0" w:color="auto"/>
            </w:tcBorders>
            <w:shd w:val="clear" w:color="000000" w:fill="FFFFFF"/>
            <w:vAlign w:val="center"/>
            <w:hideMark/>
          </w:tcPr>
          <w:p w:rsidR="009E63AE" w:rsidRPr="00A07BC9" w:rsidRDefault="009E63AE" w:rsidP="00A32DF6">
            <w:pPr>
              <w:widowControl/>
              <w:rPr>
                <w:rFonts w:ascii="华文仿宋" w:eastAsia="华文仿宋" w:hAnsi="华文仿宋" w:cs="宋体" w:hint="eastAsia"/>
                <w:bCs/>
                <w:color w:val="000000"/>
                <w:kern w:val="0"/>
                <w:sz w:val="20"/>
                <w:szCs w:val="20"/>
              </w:rPr>
            </w:pPr>
            <w:r w:rsidRPr="00A07BC9">
              <w:rPr>
                <w:rFonts w:ascii="华文仿宋" w:eastAsia="华文仿宋" w:hAnsi="华文仿宋" w:cs="宋体" w:hint="eastAsia"/>
                <w:color w:val="000000"/>
                <w:kern w:val="0"/>
                <w:sz w:val="20"/>
                <w:szCs w:val="20"/>
              </w:rPr>
              <w:t>每一应选人的最终应选得分是所有评委给其评分的算术平均值，即：</w:t>
            </w:r>
            <w:r w:rsidRPr="00A07BC9">
              <w:rPr>
                <w:rFonts w:ascii="华文仿宋" w:eastAsia="华文仿宋" w:hAnsi="华文仿宋" w:cs="宋体" w:hint="eastAsia"/>
                <w:color w:val="000000"/>
                <w:kern w:val="0"/>
                <w:sz w:val="20"/>
                <w:szCs w:val="20"/>
              </w:rPr>
              <w:br/>
              <w:t>应选人最终分数＝[应选人分数（评委1）＋应选人分数（评委2）＋……]÷评标委员会人数，所得分数保留至小数点后一位，四舍五入。</w:t>
            </w:r>
          </w:p>
        </w:tc>
      </w:tr>
    </w:tbl>
    <w:p w:rsidR="005C2A8A" w:rsidRPr="006841DD" w:rsidRDefault="009108DE">
      <w:bookmarkStart w:id="0" w:name="_GoBack"/>
      <w:bookmarkEnd w:id="0"/>
    </w:p>
    <w:sectPr w:rsidR="005C2A8A" w:rsidRPr="006841DD" w:rsidSect="00B04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DE" w:rsidRDefault="009108DE" w:rsidP="006841DD">
      <w:r>
        <w:separator/>
      </w:r>
    </w:p>
  </w:endnote>
  <w:endnote w:type="continuationSeparator" w:id="0">
    <w:p w:rsidR="009108DE" w:rsidRDefault="009108DE" w:rsidP="00684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DE" w:rsidRDefault="009108DE" w:rsidP="006841DD">
      <w:r>
        <w:separator/>
      </w:r>
    </w:p>
  </w:footnote>
  <w:footnote w:type="continuationSeparator" w:id="0">
    <w:p w:rsidR="009108DE" w:rsidRDefault="009108DE" w:rsidP="00684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77C"/>
    <w:rsid w:val="0022777C"/>
    <w:rsid w:val="006841DD"/>
    <w:rsid w:val="009108DE"/>
    <w:rsid w:val="00952BFE"/>
    <w:rsid w:val="009E63AE"/>
    <w:rsid w:val="00B04D8B"/>
    <w:rsid w:val="00C0146A"/>
    <w:rsid w:val="00F07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1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41DD"/>
    <w:rPr>
      <w:sz w:val="18"/>
      <w:szCs w:val="18"/>
    </w:rPr>
  </w:style>
  <w:style w:type="paragraph" w:styleId="a4">
    <w:name w:val="footer"/>
    <w:basedOn w:val="a"/>
    <w:link w:val="Char0"/>
    <w:uiPriority w:val="99"/>
    <w:unhideWhenUsed/>
    <w:rsid w:val="006841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41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1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41DD"/>
    <w:rPr>
      <w:sz w:val="18"/>
      <w:szCs w:val="18"/>
    </w:rPr>
  </w:style>
  <w:style w:type="paragraph" w:styleId="a4">
    <w:name w:val="footer"/>
    <w:basedOn w:val="a"/>
    <w:link w:val="Char0"/>
    <w:uiPriority w:val="99"/>
    <w:unhideWhenUsed/>
    <w:rsid w:val="006841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41D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许秀芝</dc:creator>
  <cp:keywords/>
  <dc:description/>
  <cp:lastModifiedBy>徐逸仙</cp:lastModifiedBy>
  <cp:revision>3</cp:revision>
  <dcterms:created xsi:type="dcterms:W3CDTF">2017-10-19T09:18:00Z</dcterms:created>
  <dcterms:modified xsi:type="dcterms:W3CDTF">2017-10-19T09:20:00Z</dcterms:modified>
</cp:coreProperties>
</file>