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442" w:firstLineChars="1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新形势下的企业知识产权管理培训方案</w:t>
      </w:r>
    </w:p>
    <w:p>
      <w:pPr>
        <w:pStyle w:val="7"/>
        <w:spacing w:line="360" w:lineRule="auto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7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我局在4.26知识产权日期间将举办多场知识产权系列培训活动，本次举办培训活动主题为“新形势下的企业知识产权管理”，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培训主题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新形势下的企业知识产权管理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二、活动方式及时间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活动方式：线上培训</w:t>
      </w:r>
    </w:p>
    <w:p>
      <w:pPr>
        <w:pStyle w:val="7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日1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：0</w:t>
      </w:r>
      <w:r>
        <w:rPr>
          <w:rFonts w:ascii="仿宋_GB2312" w:hAnsi="仿宋" w:eastAsia="仿宋_GB2312"/>
          <w:sz w:val="32"/>
          <w:szCs w:val="32"/>
        </w:rPr>
        <w:t>0-16</w:t>
      </w:r>
      <w:r>
        <w:rPr>
          <w:rFonts w:hint="eastAsia" w:ascii="仿宋_GB2312" w:hAnsi="仿宋" w:eastAsia="仿宋_GB2312"/>
          <w:sz w:val="32"/>
          <w:szCs w:val="32"/>
        </w:rPr>
        <w:t>：0</w:t>
      </w:r>
      <w:r>
        <w:rPr>
          <w:rFonts w:ascii="仿宋_GB2312" w:hAnsi="仿宋" w:eastAsia="仿宋_GB2312"/>
          <w:sz w:val="32"/>
          <w:szCs w:val="32"/>
        </w:rPr>
        <w:t>0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三、主办和承办单位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主办单位：深圳市市场监督管理局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承办单位：紫藤知识产权运营（深圳）有限公司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球化视野下的国家合作与竞争环境在最近几年发生了深刻的变化，尤其是2020年受疫情影响全球产业与贸易发展也面临重大的不确定性变局。在VACU时代（V—Volatility（易变性），知U-Uncertainty（不确定性），C-Complexity（复道杂性），A-Ambiguity（模糊性））的如何更好地理解产业创新发展的趋势，如何在新知识产权竞争环境变化中，匹配性调整企业知识产权管理的思路，通过战略化思维转型和策略型具体知识产权管理举措部署推进，使得企业更好的面对新形势的全球市场竞争？4月22日，我们一起思考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五、培训对象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本次培训主要针</w:t>
      </w:r>
      <w:r>
        <w:rPr>
          <w:rFonts w:hint="eastAsia" w:ascii="仿宋_GB2312" w:hAnsi="仿宋" w:eastAsia="仿宋_GB2312"/>
          <w:sz w:val="32"/>
          <w:szCs w:val="32"/>
        </w:rPr>
        <w:t>企业知识产权负责人。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日（星期二）上午12点前编辑短信“单位+职务+姓名+手机号+邮箱”发送至手机1</w:t>
      </w:r>
      <w:r>
        <w:rPr>
          <w:rFonts w:ascii="仿宋_GB2312" w:hAnsi="仿宋" w:eastAsia="仿宋_GB2312"/>
          <w:sz w:val="32"/>
          <w:szCs w:val="32"/>
        </w:rPr>
        <w:t>3590109759</w:t>
      </w:r>
      <w:r>
        <w:rPr>
          <w:rFonts w:hint="eastAsia" w:ascii="仿宋_GB2312" w:hAnsi="仿宋" w:eastAsia="仿宋_GB2312"/>
          <w:sz w:val="32"/>
          <w:szCs w:val="32"/>
        </w:rPr>
        <w:t>（王小姐）。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C"/>
    <w:rsid w:val="00032DCD"/>
    <w:rsid w:val="001A1B3D"/>
    <w:rsid w:val="001F585E"/>
    <w:rsid w:val="004708BC"/>
    <w:rsid w:val="005426DB"/>
    <w:rsid w:val="006235FC"/>
    <w:rsid w:val="006B02E9"/>
    <w:rsid w:val="006D1C86"/>
    <w:rsid w:val="007345E7"/>
    <w:rsid w:val="0076379A"/>
    <w:rsid w:val="009F6773"/>
    <w:rsid w:val="00B93671"/>
    <w:rsid w:val="00DD3DFB"/>
    <w:rsid w:val="00F232FB"/>
    <w:rsid w:val="00F63D9D"/>
    <w:rsid w:val="00F86852"/>
    <w:rsid w:val="00FF0677"/>
    <w:rsid w:val="0482543A"/>
    <w:rsid w:val="11BD4470"/>
    <w:rsid w:val="18651E5F"/>
    <w:rsid w:val="1AA1260F"/>
    <w:rsid w:val="1D6A6445"/>
    <w:rsid w:val="20BE33C2"/>
    <w:rsid w:val="212B2AD1"/>
    <w:rsid w:val="3310690E"/>
    <w:rsid w:val="3A927A22"/>
    <w:rsid w:val="49EB5093"/>
    <w:rsid w:val="4A067450"/>
    <w:rsid w:val="58E9296A"/>
    <w:rsid w:val="5DD224F5"/>
    <w:rsid w:val="6B0E27DC"/>
    <w:rsid w:val="6C6A06B7"/>
    <w:rsid w:val="6EC80CD2"/>
    <w:rsid w:val="747A6237"/>
    <w:rsid w:val="76F63E9F"/>
    <w:rsid w:val="78052C6C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紫藤知识产权集团</Company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2020-04-16T05:47:00Z</dcterms:created>
  <dc:creator>liyang3</dc:creator>
  <cp:lastModifiedBy>李杨</cp:lastModifiedBy>
  <dcterms:modified xsi:type="dcterms:W3CDTF">2020-04-17T07:56:23Z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