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w:t>
      </w:r>
      <w:r>
        <w:rPr>
          <w:rFonts w:ascii="黑体" w:hAnsi="宋体" w:eastAsia="黑体"/>
          <w:sz w:val="32"/>
          <w:szCs w:val="32"/>
        </w:rPr>
        <w:t>1</w:t>
      </w:r>
    </w:p>
    <w:p>
      <w:pPr>
        <w:spacing w:before="234" w:beforeLines="75"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before="234" w:beforeLines="75" w:line="360" w:lineRule="auto"/>
        <w:jc w:val="center"/>
        <w:rPr>
          <w:rFonts w:ascii="黑体" w:hAnsi="黑体" w:eastAsia="黑体"/>
          <w:sz w:val="36"/>
          <w:szCs w:val="36"/>
        </w:rPr>
      </w:pPr>
      <w:r>
        <w:rPr>
          <w:rFonts w:hint="eastAsia" w:ascii="黑体" w:hAnsi="黑体" w:eastAsia="黑体"/>
          <w:sz w:val="36"/>
          <w:szCs w:val="36"/>
        </w:rPr>
        <w:t>童车产品质量监督抽查实施规范</w:t>
      </w:r>
    </w:p>
    <w:p>
      <w:pPr>
        <w:spacing w:before="234" w:beforeLines="75"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：CCGF-SZ-</w:t>
      </w:r>
      <w:r>
        <w:rPr>
          <w:rFonts w:hint="eastAsia" w:ascii="黑体" w:hAnsi="黑体" w:eastAsia="黑体"/>
          <w:sz w:val="28"/>
        </w:rPr>
        <w:t>125</w:t>
      </w:r>
      <w:r>
        <w:rPr>
          <w:rFonts w:ascii="黑体" w:hAnsi="黑体" w:eastAsia="黑体"/>
          <w:sz w:val="28"/>
        </w:rPr>
        <w:t>-</w:t>
      </w:r>
      <w:r>
        <w:rPr>
          <w:rFonts w:hint="eastAsia" w:ascii="黑体" w:hAnsi="黑体" w:eastAsia="黑体"/>
          <w:sz w:val="28"/>
        </w:rPr>
        <w:t>2020</w:t>
      </w:r>
    </w:p>
    <w:p>
      <w:pPr>
        <w:spacing w:before="234" w:beforeLines="75" w:line="360" w:lineRule="auto"/>
        <w:jc w:val="center"/>
        <w:rPr>
          <w:rFonts w:ascii="黑体" w:hAnsi="黑体" w:eastAsia="黑体"/>
          <w:sz w:val="28"/>
        </w:rPr>
      </w:pPr>
      <w:r>
        <w:rPr>
          <w:rFonts w:hint="eastAsia" w:ascii="黑体" w:hAnsi="黑体" w:eastAsia="黑体"/>
          <w:sz w:val="28"/>
        </w:rPr>
        <w:t xml:space="preserve"> </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1 适用范围</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本规范适用于深圳市生产及流通领域童车产品质量监督抽查。监督抽查产品范围适用于：各类童车。</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2产品种类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4"/>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025"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25"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童车</w:t>
            </w:r>
          </w:p>
        </w:tc>
        <w:tc>
          <w:tcPr>
            <w:tcW w:w="6447" w:type="dxa"/>
            <w:noWrap w:val="0"/>
            <w:vAlign w:val="center"/>
          </w:tcPr>
          <w:p>
            <w:pPr>
              <w:autoSpaceDE w:val="0"/>
              <w:autoSpaceDN w:val="0"/>
              <w:adjustRightInd w:val="0"/>
              <w:spacing w:line="300" w:lineRule="exact"/>
              <w:rPr>
                <w:rFonts w:ascii="宋体" w:hAnsi="宋体" w:cs="宋体"/>
                <w:kern w:val="0"/>
                <w:sz w:val="24"/>
              </w:rPr>
            </w:pPr>
            <w:r>
              <w:rPr>
                <w:rFonts w:hint="eastAsia" w:ascii="仿宋_GB2312" w:eastAsia="仿宋_GB2312" w:cs="宋体"/>
                <w:kern w:val="0"/>
                <w:sz w:val="24"/>
                <w:szCs w:val="28"/>
              </w:rPr>
              <w:t>儿童自行车、儿童三轮车、婴儿学步车、儿童推车、儿童滑板车、其他类童车（包括玩具自行车、电动童车、扭扭车等）。</w:t>
            </w:r>
          </w:p>
        </w:tc>
      </w:tr>
    </w:tbl>
    <w:p>
      <w:pPr>
        <w:snapToGrid w:val="0"/>
        <w:spacing w:before="156" w:beforeLines="50" w:line="360" w:lineRule="auto"/>
        <w:rPr>
          <w:rFonts w:ascii="仿宋_GB2312" w:hAnsi="宋体" w:eastAsia="仿宋_GB2312"/>
          <w:b/>
          <w:sz w:val="28"/>
          <w:szCs w:val="28"/>
        </w:rPr>
      </w:pPr>
      <w:r>
        <w:rPr>
          <w:rFonts w:hint="eastAsia" w:ascii="仿宋_GB2312" w:hAnsi="宋体" w:eastAsia="仿宋_GB2312"/>
          <w:b/>
          <w:sz w:val="28"/>
          <w:szCs w:val="28"/>
        </w:rPr>
        <w:t>3 术语和定义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jc w:val="center"/>
        <w:rPr>
          <w:rFonts w:ascii="黑体" w:hAnsi="黑体" w:eastAsia="黑体"/>
          <w:sz w:val="28"/>
          <w:szCs w:val="28"/>
        </w:rPr>
      </w:pPr>
      <w:r>
        <w:rPr>
          <w:rFonts w:hint="eastAsia" w:ascii="黑体" w:hAnsi="黑体" w:eastAsia="黑体"/>
          <w:sz w:val="28"/>
          <w:szCs w:val="28"/>
        </w:rPr>
        <w:t>表2 术语和定义</w:t>
      </w:r>
    </w:p>
    <w:tbl>
      <w:tblPr>
        <w:tblStyle w:val="4"/>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napToGrid w:val="0"/>
              <w:jc w:val="center"/>
              <w:rPr>
                <w:rFonts w:ascii="仿宋_GB2312" w:hAnsi="宋体" w:eastAsia="仿宋_GB2312"/>
                <w:sz w:val="24"/>
              </w:rPr>
            </w:pPr>
            <w:r>
              <w:rPr>
                <w:rFonts w:hint="eastAsia" w:ascii="仿宋_GB2312" w:hAnsi="宋体" w:eastAsia="仿宋_GB2312"/>
                <w:sz w:val="24"/>
              </w:rPr>
              <w:t>儿童自行车</w:t>
            </w:r>
          </w:p>
        </w:tc>
        <w:tc>
          <w:tcPr>
            <w:tcW w:w="6447" w:type="dxa"/>
            <w:noWrap w:val="0"/>
            <w:vAlign w:val="center"/>
          </w:tcPr>
          <w:p>
            <w:pPr>
              <w:autoSpaceDE w:val="0"/>
              <w:autoSpaceDN w:val="0"/>
              <w:adjustRightInd w:val="0"/>
              <w:snapToGrid w:val="0"/>
              <w:jc w:val="left"/>
              <w:rPr>
                <w:rFonts w:ascii="仿宋_GB2312" w:hAnsi="宋体" w:eastAsia="仿宋_GB2312"/>
                <w:sz w:val="24"/>
              </w:rPr>
            </w:pPr>
            <w:r>
              <w:rPr>
                <w:rFonts w:hint="eastAsia" w:ascii="仿宋_GB2312" w:hAnsi="宋体" w:eastAsia="仿宋_GB2312"/>
                <w:sz w:val="24"/>
              </w:rPr>
              <w:t>四岁至八岁儿童骑行的鞍座最大高度在435mm和635mm之间、凭借作用于后轮的驱动机构骑行的自行车。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napToGrid w:val="0"/>
              <w:jc w:val="center"/>
              <w:rPr>
                <w:rFonts w:ascii="仿宋_GB2312" w:hAnsi="宋体" w:eastAsia="仿宋_GB2312"/>
                <w:sz w:val="24"/>
              </w:rPr>
            </w:pPr>
            <w:r>
              <w:rPr>
                <w:rFonts w:hint="eastAsia" w:ascii="仿宋_GB2312" w:hAnsi="宋体" w:eastAsia="仿宋_GB2312"/>
                <w:sz w:val="24"/>
              </w:rPr>
              <w:t>儿童三轮车</w:t>
            </w:r>
          </w:p>
        </w:tc>
        <w:tc>
          <w:tcPr>
            <w:tcW w:w="6447" w:type="dxa"/>
            <w:noWrap w:val="0"/>
            <w:vAlign w:val="center"/>
          </w:tcPr>
          <w:p>
            <w:pPr>
              <w:autoSpaceDE w:val="0"/>
              <w:autoSpaceDN w:val="0"/>
              <w:adjustRightInd w:val="0"/>
              <w:snapToGrid w:val="0"/>
              <w:jc w:val="left"/>
              <w:rPr>
                <w:rFonts w:ascii="仿宋_GB2312" w:hAnsi="宋体" w:eastAsia="仿宋_GB2312"/>
                <w:sz w:val="24"/>
              </w:rPr>
            </w:pPr>
            <w:r>
              <w:rPr>
                <w:rFonts w:hint="eastAsia" w:ascii="仿宋_GB2312" w:hAnsi="宋体" w:eastAsia="仿宋_GB2312"/>
                <w:sz w:val="24"/>
              </w:rPr>
              <w:t>供一名儿童或多名儿童乘坐的一种轮式车辆，各车轮与地面的接触点应能形成三角形或梯形，并仅借人力靠脚蹬驱动前轮而行驶的车辆。如果轮子与地面的接触点构成的形状为梯形，则窄轮距宽度应小于宽轮距的一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napToGrid w:val="0"/>
              <w:spacing w:line="340" w:lineRule="exact"/>
              <w:jc w:val="center"/>
              <w:rPr>
                <w:rFonts w:ascii="仿宋_GB2312" w:hAnsi="宋体" w:eastAsia="仿宋_GB2312"/>
                <w:sz w:val="24"/>
              </w:rPr>
            </w:pPr>
            <w:r>
              <w:rPr>
                <w:rFonts w:hint="eastAsia" w:ascii="仿宋_GB2312" w:hAnsi="宋体" w:eastAsia="仿宋_GB2312"/>
                <w:sz w:val="24"/>
              </w:rPr>
              <w:t>儿童推车</w:t>
            </w:r>
          </w:p>
        </w:tc>
        <w:tc>
          <w:tcPr>
            <w:tcW w:w="6447" w:type="dxa"/>
            <w:noWrap w:val="0"/>
            <w:vAlign w:val="center"/>
          </w:tcPr>
          <w:p>
            <w:pPr>
              <w:autoSpaceDE w:val="0"/>
              <w:autoSpaceDN w:val="0"/>
              <w:adjustRightInd w:val="0"/>
              <w:snapToGrid w:val="0"/>
              <w:spacing w:line="340" w:lineRule="exact"/>
              <w:jc w:val="left"/>
              <w:rPr>
                <w:rFonts w:ascii="仿宋_GB2312" w:hAnsi="宋体" w:eastAsia="仿宋_GB2312"/>
                <w:sz w:val="24"/>
              </w:rPr>
            </w:pPr>
            <w:r>
              <w:rPr>
                <w:rFonts w:hint="eastAsia" w:ascii="仿宋_GB2312" w:hAnsi="宋体" w:eastAsia="仿宋_GB2312"/>
                <w:sz w:val="24"/>
              </w:rPr>
              <w:t>供一名儿童或多名儿童乘坐的、由人工推行的车辆。包括卧式推车、坐式推车、坐卧两用推车、多用途推车等。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napToGrid w:val="0"/>
              <w:spacing w:line="340" w:lineRule="exact"/>
              <w:jc w:val="center"/>
              <w:rPr>
                <w:rFonts w:ascii="仿宋_GB2312" w:hAnsi="宋体" w:eastAsia="仿宋_GB2312"/>
                <w:sz w:val="24"/>
              </w:rPr>
            </w:pPr>
            <w:r>
              <w:rPr>
                <w:rFonts w:hint="eastAsia" w:ascii="仿宋_GB2312" w:hAnsi="宋体" w:eastAsia="仿宋_GB2312"/>
                <w:sz w:val="24"/>
              </w:rPr>
              <w:t>婴儿学步车</w:t>
            </w:r>
          </w:p>
        </w:tc>
        <w:tc>
          <w:tcPr>
            <w:tcW w:w="6447" w:type="dxa"/>
            <w:noWrap w:val="0"/>
            <w:vAlign w:val="center"/>
          </w:tcPr>
          <w:p>
            <w:pPr>
              <w:autoSpaceDE w:val="0"/>
              <w:autoSpaceDN w:val="0"/>
              <w:adjustRightInd w:val="0"/>
              <w:snapToGrid w:val="0"/>
              <w:spacing w:line="340" w:lineRule="exact"/>
              <w:jc w:val="left"/>
              <w:rPr>
                <w:rFonts w:ascii="仿宋_GB2312" w:hAnsi="宋体" w:eastAsia="仿宋_GB2312"/>
                <w:sz w:val="24"/>
              </w:rPr>
            </w:pPr>
            <w:r>
              <w:rPr>
                <w:rFonts w:hint="eastAsia" w:ascii="仿宋_GB2312" w:hAnsi="宋体" w:eastAsia="仿宋_GB2312"/>
                <w:sz w:val="24"/>
              </w:rPr>
              <w:t>供能够坐立到能够自己行走的婴儿使用的学步车，脚轮上有能运转的坐架，婴儿在车内就坐以后，可以借助框架的支撑进行任意方向运动。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napToGrid w:val="0"/>
              <w:spacing w:line="340" w:lineRule="exact"/>
              <w:jc w:val="center"/>
              <w:rPr>
                <w:rFonts w:ascii="仿宋_GB2312" w:hAnsi="宋体" w:eastAsia="仿宋_GB2312"/>
                <w:sz w:val="24"/>
              </w:rPr>
            </w:pPr>
            <w:r>
              <w:rPr>
                <w:rFonts w:hint="eastAsia" w:ascii="仿宋_GB2312" w:eastAsia="仿宋_GB2312" w:cs="宋体"/>
                <w:kern w:val="0"/>
                <w:sz w:val="24"/>
                <w:szCs w:val="28"/>
              </w:rPr>
              <w:t>儿童滑板车</w:t>
            </w:r>
          </w:p>
        </w:tc>
        <w:tc>
          <w:tcPr>
            <w:tcW w:w="6447" w:type="dxa"/>
            <w:noWrap w:val="0"/>
            <w:vAlign w:val="center"/>
          </w:tcPr>
          <w:p>
            <w:pPr>
              <w:snapToGrid w:val="0"/>
              <w:spacing w:line="340" w:lineRule="exact"/>
              <w:jc w:val="left"/>
              <w:rPr>
                <w:rFonts w:eastAsia="仿宋"/>
                <w:kern w:val="0"/>
                <w:sz w:val="28"/>
                <w:szCs w:val="28"/>
              </w:rPr>
            </w:pPr>
            <w:r>
              <w:rPr>
                <w:rFonts w:hint="eastAsia" w:ascii="仿宋_GB2312" w:hAnsi="宋体" w:eastAsia="仿宋_GB2312"/>
                <w:sz w:val="24"/>
              </w:rPr>
              <w:t>供体重不超过50kg儿童使用的、由儿童通过肌肉运动驱动的乘骑玩具，包括可折叠和不可折叠两种形式。儿童滑板车的组成包括以下部件：至少一个站立面、至少2个车轮、1个车把、1个可调节长度或固定长度的把立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napToGrid w:val="0"/>
              <w:spacing w:line="340" w:lineRule="exact"/>
              <w:jc w:val="center"/>
              <w:rPr>
                <w:rFonts w:ascii="仿宋_GB2312" w:hAnsi="宋体" w:eastAsia="仿宋_GB2312"/>
                <w:sz w:val="24"/>
              </w:rPr>
            </w:pPr>
            <w:r>
              <w:rPr>
                <w:rFonts w:hint="eastAsia" w:ascii="仿宋_GB2312" w:hAnsi="宋体" w:eastAsia="仿宋_GB2312"/>
                <w:sz w:val="24"/>
              </w:rPr>
              <w:t>其他类童车</w:t>
            </w:r>
          </w:p>
        </w:tc>
        <w:tc>
          <w:tcPr>
            <w:tcW w:w="6447" w:type="dxa"/>
            <w:noWrap w:val="0"/>
            <w:vAlign w:val="center"/>
          </w:tcPr>
          <w:p>
            <w:pPr>
              <w:autoSpaceDE w:val="0"/>
              <w:autoSpaceDN w:val="0"/>
              <w:adjustRightInd w:val="0"/>
              <w:snapToGrid w:val="0"/>
              <w:spacing w:line="340" w:lineRule="exact"/>
              <w:jc w:val="left"/>
              <w:rPr>
                <w:rFonts w:ascii="仿宋_GB2312" w:hAnsi="宋体" w:eastAsia="仿宋_GB2312"/>
                <w:sz w:val="24"/>
              </w:rPr>
            </w:pPr>
            <w:r>
              <w:rPr>
                <w:rFonts w:hint="eastAsia" w:ascii="仿宋_GB2312" w:hAnsi="宋体" w:eastAsia="仿宋_GB2312"/>
                <w:sz w:val="24"/>
              </w:rPr>
              <w:t>除上述童车外，玩具自行车、电动童车、扭扭车等其他童车。</w:t>
            </w:r>
          </w:p>
        </w:tc>
      </w:tr>
    </w:tbl>
    <w:p>
      <w:pPr>
        <w:snapToGrid w:val="0"/>
        <w:spacing w:before="156" w:beforeLines="50" w:line="360" w:lineRule="auto"/>
        <w:rPr>
          <w:rFonts w:ascii="仿宋_GB2312" w:hAnsi="宋体" w:eastAsia="仿宋_GB2312"/>
          <w:b/>
          <w:sz w:val="28"/>
          <w:szCs w:val="28"/>
        </w:rPr>
      </w:pPr>
      <w:r>
        <w:rPr>
          <w:rFonts w:hint="eastAsia" w:ascii="仿宋_GB2312" w:hAnsi="宋体" w:eastAsia="仿宋_GB2312"/>
          <w:b/>
          <w:sz w:val="28"/>
          <w:szCs w:val="28"/>
        </w:rPr>
        <w:t>4 检验依据</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检验依据见表3。</w:t>
      </w:r>
    </w:p>
    <w:p>
      <w:pPr>
        <w:snapToGrid w:val="0"/>
        <w:jc w:val="center"/>
        <w:rPr>
          <w:rFonts w:ascii="黑体" w:hAnsi="黑体" w:eastAsia="黑体"/>
          <w:sz w:val="28"/>
          <w:szCs w:val="28"/>
        </w:rPr>
      </w:pPr>
      <w:r>
        <w:rPr>
          <w:rFonts w:hint="eastAsia" w:ascii="黑体" w:hAnsi="黑体" w:eastAsia="黑体"/>
          <w:sz w:val="28"/>
          <w:szCs w:val="28"/>
        </w:rPr>
        <w:t>表3 检验依据</w:t>
      </w:r>
    </w:p>
    <w:tbl>
      <w:tblPr>
        <w:tblStyle w:val="4"/>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4339"/>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2194"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339"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556"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center"/>
          </w:tcPr>
          <w:p>
            <w:pPr>
              <w:autoSpaceDE w:val="0"/>
              <w:autoSpaceDN w:val="0"/>
              <w:adjustRightInd w:val="0"/>
              <w:jc w:val="center"/>
              <w:rPr>
                <w:rFonts w:ascii="仿宋_GB2312" w:eastAsia="仿宋_GB2312" w:cs="FZHTK--GBK1-0"/>
                <w:kern w:val="0"/>
                <w:sz w:val="24"/>
              </w:rPr>
            </w:pPr>
            <w:r>
              <w:rPr>
                <w:rFonts w:hint="eastAsia" w:ascii="仿宋_GB2312" w:eastAsia="仿宋_GB2312" w:cs="FZHTK--GBK1-0"/>
                <w:kern w:val="0"/>
                <w:sz w:val="24"/>
              </w:rPr>
              <w:t>GB 14746-2006</w:t>
            </w:r>
          </w:p>
        </w:tc>
        <w:tc>
          <w:tcPr>
            <w:tcW w:w="4339" w:type="dxa"/>
            <w:noWrap w:val="0"/>
            <w:vAlign w:val="center"/>
          </w:tcPr>
          <w:p>
            <w:pPr>
              <w:autoSpaceDE w:val="0"/>
              <w:autoSpaceDN w:val="0"/>
              <w:adjustRightInd w:val="0"/>
              <w:jc w:val="center"/>
              <w:rPr>
                <w:rFonts w:ascii="仿宋_GB2312" w:eastAsia="仿宋_GB2312" w:cs="FZHTK--GBK1-0"/>
                <w:kern w:val="0"/>
                <w:sz w:val="24"/>
              </w:rPr>
            </w:pPr>
            <w:r>
              <w:rPr>
                <w:rFonts w:hint="eastAsia" w:ascii="仿宋_GB2312" w:eastAsia="仿宋_GB2312" w:cs="FZHTK--GBK1-0"/>
                <w:kern w:val="0"/>
                <w:sz w:val="24"/>
              </w:rPr>
              <w:t>儿童自行车安全要求</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center"/>
          </w:tcPr>
          <w:p>
            <w:pPr>
              <w:autoSpaceDE w:val="0"/>
              <w:autoSpaceDN w:val="0"/>
              <w:adjustRightInd w:val="0"/>
              <w:jc w:val="center"/>
              <w:rPr>
                <w:rFonts w:ascii="仿宋_GB2312" w:eastAsia="仿宋_GB2312" w:cs="FZHTK--GBK1-0"/>
                <w:kern w:val="0"/>
                <w:sz w:val="24"/>
              </w:rPr>
            </w:pPr>
            <w:r>
              <w:rPr>
                <w:rFonts w:hint="eastAsia" w:ascii="仿宋_GB2312" w:eastAsia="仿宋_GB2312" w:cs="FZHTK--GBK1-0"/>
                <w:kern w:val="0"/>
                <w:sz w:val="24"/>
              </w:rPr>
              <w:t>GB 14747-2006</w:t>
            </w:r>
          </w:p>
        </w:tc>
        <w:tc>
          <w:tcPr>
            <w:tcW w:w="4339" w:type="dxa"/>
            <w:noWrap w:val="0"/>
            <w:vAlign w:val="center"/>
          </w:tcPr>
          <w:p>
            <w:pPr>
              <w:autoSpaceDE w:val="0"/>
              <w:autoSpaceDN w:val="0"/>
              <w:adjustRightInd w:val="0"/>
              <w:jc w:val="center"/>
              <w:rPr>
                <w:rFonts w:ascii="仿宋_GB2312" w:eastAsia="仿宋_GB2312" w:cs="FZHTK--GBK1-0"/>
                <w:kern w:val="0"/>
                <w:sz w:val="24"/>
              </w:rPr>
            </w:pPr>
            <w:r>
              <w:rPr>
                <w:rFonts w:hint="eastAsia" w:ascii="仿宋_GB2312" w:eastAsia="仿宋_GB2312" w:cs="FZHTK--GBK1-0"/>
                <w:kern w:val="0"/>
                <w:sz w:val="24"/>
              </w:rPr>
              <w:t>儿童三轮车安全要求</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center"/>
          </w:tcPr>
          <w:p>
            <w:pPr>
              <w:autoSpaceDE w:val="0"/>
              <w:autoSpaceDN w:val="0"/>
              <w:adjustRightInd w:val="0"/>
              <w:jc w:val="center"/>
              <w:rPr>
                <w:rFonts w:ascii="仿宋_GB2312" w:eastAsia="仿宋_GB2312" w:cs="FZHTK--GBK1-0"/>
                <w:kern w:val="0"/>
                <w:sz w:val="24"/>
              </w:rPr>
            </w:pPr>
            <w:r>
              <w:rPr>
                <w:rFonts w:hint="eastAsia" w:ascii="仿宋_GB2312" w:eastAsia="仿宋_GB2312" w:cs="FZHTK--GBK1-0"/>
                <w:kern w:val="0"/>
                <w:sz w:val="24"/>
              </w:rPr>
              <w:t>GB 14748-2006</w:t>
            </w:r>
          </w:p>
        </w:tc>
        <w:tc>
          <w:tcPr>
            <w:tcW w:w="4339" w:type="dxa"/>
            <w:noWrap w:val="0"/>
            <w:vAlign w:val="center"/>
          </w:tcPr>
          <w:p>
            <w:pPr>
              <w:autoSpaceDE w:val="0"/>
              <w:autoSpaceDN w:val="0"/>
              <w:adjustRightInd w:val="0"/>
              <w:jc w:val="center"/>
              <w:rPr>
                <w:rFonts w:ascii="仿宋_GB2312" w:eastAsia="仿宋_GB2312" w:cs="FZHTK--GBK1-0"/>
                <w:kern w:val="0"/>
                <w:sz w:val="24"/>
              </w:rPr>
            </w:pPr>
            <w:r>
              <w:rPr>
                <w:rFonts w:hint="eastAsia" w:ascii="仿宋_GB2312" w:eastAsia="仿宋_GB2312" w:cs="FZHTK--GBK1-0"/>
                <w:kern w:val="0"/>
                <w:sz w:val="24"/>
              </w:rPr>
              <w:t>儿童推车安全要求</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center"/>
          </w:tcPr>
          <w:p>
            <w:pPr>
              <w:autoSpaceDE w:val="0"/>
              <w:autoSpaceDN w:val="0"/>
              <w:adjustRightInd w:val="0"/>
              <w:jc w:val="center"/>
              <w:rPr>
                <w:rFonts w:ascii="仿宋_GB2312" w:eastAsia="仿宋_GB2312" w:cs="FZHTK--GBK1-0"/>
                <w:kern w:val="0"/>
                <w:sz w:val="24"/>
              </w:rPr>
            </w:pPr>
            <w:r>
              <w:rPr>
                <w:rFonts w:hint="eastAsia" w:ascii="仿宋_GB2312" w:eastAsia="仿宋_GB2312" w:cs="FZHTK--GBK1-0"/>
                <w:kern w:val="0"/>
                <w:sz w:val="24"/>
              </w:rPr>
              <w:t>GB 14749-2006</w:t>
            </w:r>
          </w:p>
        </w:tc>
        <w:tc>
          <w:tcPr>
            <w:tcW w:w="4339" w:type="dxa"/>
            <w:noWrap w:val="0"/>
            <w:vAlign w:val="center"/>
          </w:tcPr>
          <w:p>
            <w:pPr>
              <w:autoSpaceDE w:val="0"/>
              <w:autoSpaceDN w:val="0"/>
              <w:adjustRightInd w:val="0"/>
              <w:jc w:val="center"/>
              <w:rPr>
                <w:rFonts w:ascii="仿宋_GB2312" w:eastAsia="仿宋_GB2312" w:cs="FZHTK--GBK1-0"/>
                <w:kern w:val="0"/>
                <w:sz w:val="24"/>
              </w:rPr>
            </w:pPr>
            <w:r>
              <w:rPr>
                <w:rFonts w:hint="eastAsia" w:ascii="仿宋_GB2312" w:eastAsia="仿宋_GB2312" w:cs="FZHTK--GBK1-0"/>
                <w:kern w:val="0"/>
                <w:sz w:val="24"/>
              </w:rPr>
              <w:t>婴儿学步车安全要求</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center"/>
          </w:tcPr>
          <w:p>
            <w:pPr>
              <w:snapToGrid w:val="0"/>
              <w:jc w:val="center"/>
              <w:rPr>
                <w:rFonts w:ascii="仿宋_GB2312" w:eastAsia="仿宋_GB2312"/>
                <w:sz w:val="24"/>
                <w:szCs w:val="21"/>
              </w:rPr>
            </w:pPr>
            <w:r>
              <w:rPr>
                <w:rFonts w:hint="eastAsia" w:ascii="仿宋_GB2312" w:eastAsia="仿宋_GB2312"/>
                <w:sz w:val="24"/>
                <w:szCs w:val="21"/>
              </w:rPr>
              <w:t>GB 6675.1-2014</w:t>
            </w:r>
          </w:p>
        </w:tc>
        <w:tc>
          <w:tcPr>
            <w:tcW w:w="4339" w:type="dxa"/>
            <w:noWrap w:val="0"/>
            <w:vAlign w:val="center"/>
          </w:tcPr>
          <w:p>
            <w:pPr>
              <w:autoSpaceDE w:val="0"/>
              <w:autoSpaceDN w:val="0"/>
              <w:adjustRightInd w:val="0"/>
              <w:jc w:val="center"/>
              <w:rPr>
                <w:rFonts w:ascii="仿宋_GB2312" w:eastAsia="仿宋_GB2312"/>
                <w:sz w:val="24"/>
              </w:rPr>
            </w:pPr>
            <w:r>
              <w:rPr>
                <w:rFonts w:hint="eastAsia" w:ascii="仿宋_GB2312" w:eastAsia="仿宋_GB2312" w:cs="FZHTK--GBK1-0"/>
                <w:kern w:val="0"/>
                <w:sz w:val="24"/>
              </w:rPr>
              <w:t>玩具安全 第</w:t>
            </w:r>
            <w:r>
              <w:rPr>
                <w:rFonts w:hint="eastAsia" w:ascii="仿宋_GB2312" w:eastAsia="仿宋_GB2312" w:cs="E-FZ"/>
                <w:kern w:val="0"/>
                <w:sz w:val="24"/>
              </w:rPr>
              <w:t>1</w:t>
            </w:r>
            <w:r>
              <w:rPr>
                <w:rFonts w:hint="eastAsia" w:ascii="仿宋_GB2312" w:eastAsia="仿宋_GB2312" w:cs="FZHTK--GBK1-0"/>
                <w:kern w:val="0"/>
                <w:sz w:val="24"/>
              </w:rPr>
              <w:t>部分</w:t>
            </w:r>
            <w:r>
              <w:rPr>
                <w:rFonts w:hint="eastAsia" w:ascii="仿宋_GB2312" w:eastAsia="仿宋_GB2312" w:cs="E-BZ"/>
                <w:kern w:val="0"/>
                <w:sz w:val="24"/>
              </w:rPr>
              <w:t>:</w:t>
            </w:r>
            <w:r>
              <w:rPr>
                <w:rFonts w:hint="eastAsia" w:ascii="仿宋_GB2312" w:eastAsia="仿宋_GB2312" w:cs="FZHTK--GBK1-0"/>
                <w:kern w:val="0"/>
                <w:sz w:val="24"/>
              </w:rPr>
              <w:t>基本规范</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center"/>
          </w:tcPr>
          <w:p>
            <w:pPr>
              <w:snapToGrid w:val="0"/>
              <w:jc w:val="center"/>
              <w:rPr>
                <w:rFonts w:ascii="仿宋_GB2312" w:eastAsia="仿宋_GB2312"/>
                <w:sz w:val="24"/>
                <w:szCs w:val="21"/>
              </w:rPr>
            </w:pPr>
            <w:r>
              <w:rPr>
                <w:rFonts w:hint="eastAsia" w:ascii="仿宋_GB2312" w:eastAsia="仿宋_GB2312"/>
                <w:sz w:val="24"/>
                <w:szCs w:val="21"/>
              </w:rPr>
              <w:t>GB 6675.2-2014</w:t>
            </w:r>
          </w:p>
        </w:tc>
        <w:tc>
          <w:tcPr>
            <w:tcW w:w="4339" w:type="dxa"/>
            <w:noWrap w:val="0"/>
            <w:vAlign w:val="center"/>
          </w:tcPr>
          <w:p>
            <w:pPr>
              <w:snapToGrid w:val="0"/>
              <w:jc w:val="center"/>
              <w:rPr>
                <w:rFonts w:ascii="仿宋_GB2312" w:eastAsia="仿宋_GB2312"/>
                <w:sz w:val="24"/>
              </w:rPr>
            </w:pPr>
            <w:r>
              <w:rPr>
                <w:rFonts w:hint="eastAsia" w:ascii="仿宋_GB2312" w:eastAsia="仿宋_GB2312" w:cs="FZHTK--GBK1-0"/>
                <w:kern w:val="0"/>
                <w:sz w:val="24"/>
              </w:rPr>
              <w:t>玩具安全 第</w:t>
            </w:r>
            <w:r>
              <w:rPr>
                <w:rFonts w:hint="eastAsia" w:ascii="仿宋_GB2312" w:eastAsia="仿宋_GB2312" w:cs="E-FZ"/>
                <w:kern w:val="0"/>
                <w:sz w:val="24"/>
              </w:rPr>
              <w:t>2</w:t>
            </w:r>
            <w:r>
              <w:rPr>
                <w:rFonts w:hint="eastAsia" w:ascii="仿宋_GB2312" w:eastAsia="仿宋_GB2312" w:cs="FZHTK--GBK1-0"/>
                <w:kern w:val="0"/>
                <w:sz w:val="24"/>
              </w:rPr>
              <w:t>部分</w:t>
            </w:r>
            <w:r>
              <w:rPr>
                <w:rFonts w:hint="eastAsia" w:ascii="仿宋_GB2312" w:eastAsia="仿宋_GB2312" w:cs="E-BZ"/>
                <w:kern w:val="0"/>
                <w:sz w:val="24"/>
              </w:rPr>
              <w:t>:</w:t>
            </w:r>
            <w:r>
              <w:rPr>
                <w:rFonts w:hint="eastAsia" w:ascii="仿宋_GB2312" w:eastAsia="仿宋_GB2312" w:cs="FZHTK--GBK1-0"/>
                <w:kern w:val="0"/>
                <w:sz w:val="24"/>
              </w:rPr>
              <w:t>机械与物理性能</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center"/>
          </w:tcPr>
          <w:p>
            <w:pPr>
              <w:snapToGrid w:val="0"/>
              <w:jc w:val="center"/>
              <w:rPr>
                <w:rFonts w:ascii="仿宋_GB2312" w:eastAsia="仿宋_GB2312"/>
                <w:sz w:val="24"/>
                <w:szCs w:val="21"/>
              </w:rPr>
            </w:pPr>
            <w:r>
              <w:rPr>
                <w:rFonts w:hint="eastAsia" w:ascii="仿宋_GB2312" w:eastAsia="仿宋_GB2312"/>
                <w:sz w:val="24"/>
                <w:szCs w:val="21"/>
              </w:rPr>
              <w:t>GB 6675.3-2014</w:t>
            </w:r>
          </w:p>
        </w:tc>
        <w:tc>
          <w:tcPr>
            <w:tcW w:w="4339" w:type="dxa"/>
            <w:noWrap w:val="0"/>
            <w:vAlign w:val="center"/>
          </w:tcPr>
          <w:p>
            <w:pPr>
              <w:snapToGrid w:val="0"/>
              <w:jc w:val="center"/>
              <w:rPr>
                <w:rFonts w:ascii="仿宋_GB2312" w:eastAsia="仿宋_GB2312"/>
                <w:sz w:val="24"/>
              </w:rPr>
            </w:pPr>
            <w:r>
              <w:rPr>
                <w:rFonts w:hint="eastAsia" w:ascii="仿宋_GB2312" w:eastAsia="仿宋_GB2312" w:cs="FZHTK--GBK1-0"/>
                <w:kern w:val="0"/>
                <w:sz w:val="24"/>
              </w:rPr>
              <w:t>玩具安全 第</w:t>
            </w:r>
            <w:r>
              <w:rPr>
                <w:rFonts w:hint="eastAsia" w:ascii="仿宋_GB2312" w:eastAsia="仿宋_GB2312" w:cs="E-FZ"/>
                <w:kern w:val="0"/>
                <w:sz w:val="24"/>
              </w:rPr>
              <w:t>3</w:t>
            </w:r>
            <w:r>
              <w:rPr>
                <w:rFonts w:hint="eastAsia" w:ascii="仿宋_GB2312" w:eastAsia="仿宋_GB2312" w:cs="FZHTK--GBK1-0"/>
                <w:kern w:val="0"/>
                <w:sz w:val="24"/>
              </w:rPr>
              <w:t>部分</w:t>
            </w:r>
            <w:r>
              <w:rPr>
                <w:rFonts w:hint="eastAsia" w:ascii="仿宋_GB2312" w:eastAsia="仿宋_GB2312" w:cs="E-BZ"/>
                <w:kern w:val="0"/>
                <w:sz w:val="24"/>
              </w:rPr>
              <w:t>:</w:t>
            </w:r>
            <w:r>
              <w:rPr>
                <w:rFonts w:hint="eastAsia" w:ascii="仿宋_GB2312" w:eastAsia="仿宋_GB2312" w:cs="FZHTK--GBK1-0"/>
                <w:kern w:val="0"/>
                <w:sz w:val="24"/>
              </w:rPr>
              <w:t>易燃性能</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center"/>
          </w:tcPr>
          <w:p>
            <w:pPr>
              <w:snapToGrid w:val="0"/>
              <w:jc w:val="center"/>
              <w:rPr>
                <w:rFonts w:ascii="仿宋_GB2312" w:eastAsia="仿宋_GB2312"/>
                <w:sz w:val="24"/>
                <w:szCs w:val="21"/>
              </w:rPr>
            </w:pPr>
            <w:r>
              <w:rPr>
                <w:rFonts w:hint="eastAsia" w:ascii="仿宋_GB2312" w:eastAsia="仿宋_GB2312"/>
                <w:sz w:val="24"/>
                <w:szCs w:val="21"/>
              </w:rPr>
              <w:t>GB 6675.4-2014</w:t>
            </w:r>
          </w:p>
        </w:tc>
        <w:tc>
          <w:tcPr>
            <w:tcW w:w="4339" w:type="dxa"/>
            <w:noWrap w:val="0"/>
            <w:vAlign w:val="center"/>
          </w:tcPr>
          <w:p>
            <w:pPr>
              <w:snapToGrid w:val="0"/>
              <w:jc w:val="center"/>
              <w:rPr>
                <w:rFonts w:ascii="仿宋_GB2312" w:eastAsia="仿宋_GB2312"/>
                <w:sz w:val="24"/>
              </w:rPr>
            </w:pPr>
            <w:r>
              <w:rPr>
                <w:rFonts w:hint="eastAsia" w:ascii="仿宋_GB2312" w:eastAsia="仿宋_GB2312" w:cs="FZHTK--GBK1-0"/>
                <w:kern w:val="0"/>
                <w:sz w:val="24"/>
              </w:rPr>
              <w:t>玩具安全 第</w:t>
            </w:r>
            <w:r>
              <w:rPr>
                <w:rFonts w:hint="eastAsia" w:ascii="仿宋_GB2312" w:eastAsia="仿宋_GB2312" w:cs="E-FZ"/>
                <w:kern w:val="0"/>
                <w:sz w:val="24"/>
              </w:rPr>
              <w:t>4</w:t>
            </w:r>
            <w:r>
              <w:rPr>
                <w:rFonts w:hint="eastAsia" w:ascii="仿宋_GB2312" w:eastAsia="仿宋_GB2312" w:cs="FZHTK--GBK1-0"/>
                <w:kern w:val="0"/>
                <w:sz w:val="24"/>
              </w:rPr>
              <w:t>部分</w:t>
            </w:r>
            <w:r>
              <w:rPr>
                <w:rFonts w:hint="eastAsia" w:ascii="仿宋_GB2312" w:eastAsia="仿宋_GB2312" w:cs="E-BZ"/>
                <w:kern w:val="0"/>
                <w:sz w:val="24"/>
              </w:rPr>
              <w:t>:</w:t>
            </w:r>
            <w:r>
              <w:rPr>
                <w:rFonts w:hint="eastAsia" w:ascii="仿宋_GB2312" w:eastAsia="仿宋_GB2312" w:cs="FZHTK--GBK1-0"/>
                <w:kern w:val="0"/>
                <w:sz w:val="24"/>
              </w:rPr>
              <w:t>特定元素的迁移</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center"/>
          </w:tcPr>
          <w:p>
            <w:pPr>
              <w:pStyle w:val="3"/>
              <w:jc w:val="center"/>
              <w:rPr>
                <w:rFonts w:ascii="仿宋_GB2312" w:eastAsia="仿宋_GB2312"/>
              </w:rPr>
            </w:pPr>
            <w:r>
              <w:rPr>
                <w:rFonts w:ascii="仿宋_GB2312" w:eastAsia="仿宋_GB2312"/>
              </w:rPr>
              <w:t>GB</w:t>
            </w:r>
            <w:r>
              <w:rPr>
                <w:rFonts w:hint="eastAsia" w:ascii="仿宋_GB2312" w:eastAsia="仿宋_GB2312"/>
              </w:rPr>
              <w:t xml:space="preserve"> </w:t>
            </w:r>
            <w:r>
              <w:rPr>
                <w:rFonts w:ascii="仿宋_GB2312" w:eastAsia="仿宋_GB2312"/>
              </w:rPr>
              <w:t>6675.12-2014</w:t>
            </w:r>
          </w:p>
        </w:tc>
        <w:tc>
          <w:tcPr>
            <w:tcW w:w="4339" w:type="dxa"/>
            <w:noWrap w:val="0"/>
            <w:vAlign w:val="center"/>
          </w:tcPr>
          <w:p>
            <w:pPr>
              <w:pStyle w:val="3"/>
              <w:jc w:val="center"/>
              <w:rPr>
                <w:rFonts w:ascii="仿宋_GB2312" w:eastAsia="仿宋_GB2312"/>
              </w:rPr>
            </w:pPr>
            <w:r>
              <w:rPr>
                <w:rFonts w:ascii="仿宋_GB2312" w:eastAsia="仿宋_GB2312"/>
              </w:rPr>
              <w:t>玩具安全 第12部分:玩具滑板车</w:t>
            </w:r>
          </w:p>
        </w:tc>
        <w:tc>
          <w:tcPr>
            <w:tcW w:w="2556" w:type="dxa"/>
            <w:noWrap w:val="0"/>
            <w:vAlign w:val="center"/>
          </w:tcPr>
          <w:p>
            <w:pPr>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bl>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5.2 取样方式</w:t>
      </w:r>
    </w:p>
    <w:p>
      <w:pPr>
        <w:snapToGrid w:val="0"/>
        <w:spacing w:line="54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54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流通领域：在流通领域抽样可在实体店以及网络交易平台两种途径获得样品。</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2.网络交易平台：若网络交易平台是在深圳市登记注册的，可对该平台的自营商品进行抽检。若网络交易平台不在深圳市登记注册的，仅可对其平台上在深圳市依法登记的经营者销售的商品进行抽检。在网络交易平台抽样，检验样品以及备用样品原则上均以向商家购样为主。</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5.3 抽样基数</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5.4 抽样数量</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生产领域：随机抽取同一规格型号的3台样品，2台作为检验样品带回承检单位，1台作为备用样品封存于承检单位；</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流通领域（实体店）：随机抽取同一规格型号的3台样品，2台作为检验样品带回承检单位，1台作为备用样品封存于承检单位。</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流通领域（网络交易平台）：随机抽取同一规格型号的3台样品，2台作为检验样品带回承检单位，1台作为备用样品封存于承检单位。</w:t>
      </w:r>
    </w:p>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样品应当由抽样人员在被抽样生产者、销售者的代销产品中随机抽取，不得由被抽样生产者、销售者自行抽样。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5.5.3</w:t>
      </w:r>
      <w:r>
        <w:rPr>
          <w:rFonts w:hint="eastAsia" w:ascii="仿宋_GB2312" w:hAnsi="宋体" w:eastAsia="仿宋_GB2312"/>
          <w:sz w:val="28"/>
          <w:szCs w:val="28"/>
        </w:rPr>
        <w:t xml:space="preserve"> </w:t>
      </w:r>
      <w:r>
        <w:rPr>
          <w:rFonts w:hint="eastAsia" w:ascii="仿宋_GB2312" w:hAnsi="Calibri" w:eastAsia="仿宋_GB2312"/>
          <w:sz w:val="28"/>
          <w:szCs w:val="28"/>
        </w:rPr>
        <w:t>抽取童车产品时，需要抽取产品的附件，包括说明书、合格证、保修卡、外包装箱、包装薄膜等</w:t>
      </w:r>
      <w:r>
        <w:rPr>
          <w:rFonts w:hint="eastAsia" w:ascii="仿宋_GB2312" w:hAnsi="宋体" w:eastAsia="仿宋_GB2312"/>
          <w:sz w:val="28"/>
          <w:szCs w:val="28"/>
        </w:rPr>
        <w:t>。</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5.6 样品处置</w:t>
      </w:r>
    </w:p>
    <w:p>
      <w:pPr>
        <w:spacing w:line="540" w:lineRule="exact"/>
        <w:rPr>
          <w:rFonts w:ascii="仿宋_GB2312" w:hAnsi="宋体" w:eastAsia="仿宋_GB2312"/>
          <w:sz w:val="28"/>
          <w:szCs w:val="28"/>
        </w:rPr>
      </w:pPr>
      <w:r>
        <w:rPr>
          <w:rFonts w:hint="eastAsia" w:ascii="仿宋_GB2312" w:hAnsi="ˎ̥" w:eastAsia="仿宋_GB2312"/>
          <w:b/>
          <w:sz w:val="28"/>
          <w:szCs w:val="28"/>
        </w:rPr>
        <w:t xml:space="preserve">5.6.1 </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540" w:lineRule="exact"/>
        <w:rPr>
          <w:rFonts w:ascii="仿宋_GB2312" w:hAnsi="Calibri" w:eastAsia="仿宋_GB2312"/>
          <w:sz w:val="28"/>
          <w:szCs w:val="28"/>
        </w:rPr>
      </w:pPr>
      <w:r>
        <w:rPr>
          <w:rFonts w:hint="eastAsia" w:ascii="仿宋_GB2312" w:hAnsi="宋体" w:eastAsia="仿宋_GB2312"/>
          <w:b/>
          <w:sz w:val="28"/>
          <w:szCs w:val="28"/>
        </w:rPr>
        <w:t xml:space="preserve">5.6.2 </w:t>
      </w:r>
      <w:r>
        <w:rPr>
          <w:rFonts w:hint="eastAsia" w:ascii="仿宋_GB2312" w:hAnsi="Calibri"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540" w:lineRule="exact"/>
        <w:rPr>
          <w:rFonts w:ascii="仿宋_GB2312" w:hAnsi="宋体" w:eastAsia="仿宋_GB2312"/>
          <w:b/>
          <w:sz w:val="28"/>
          <w:szCs w:val="28"/>
        </w:rPr>
      </w:pPr>
      <w:r>
        <w:rPr>
          <w:rFonts w:hint="eastAsia" w:ascii="仿宋_GB2312" w:hAnsi="宋体" w:eastAsia="仿宋_GB2312"/>
          <w:b/>
          <w:sz w:val="28"/>
          <w:szCs w:val="28"/>
        </w:rPr>
        <w:t>5.7 抽样单</w:t>
      </w:r>
    </w:p>
    <w:p>
      <w:pPr>
        <w:snapToGrid w:val="0"/>
        <w:spacing w:line="540" w:lineRule="exact"/>
        <w:ind w:firstLine="537" w:firstLineChars="192"/>
        <w:rPr>
          <w:rFonts w:ascii="仿宋_GB2312" w:hAnsi="Calibri"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 检验要求</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6.1 检验项目</w:t>
      </w:r>
    </w:p>
    <w:p>
      <w:pPr>
        <w:widowControl/>
        <w:adjustRightInd w:val="0"/>
        <w:snapToGrid w:val="0"/>
        <w:spacing w:line="54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6.1.1 儿童自行车</w:t>
      </w:r>
    </w:p>
    <w:tbl>
      <w:tblPr>
        <w:tblStyle w:val="4"/>
        <w:tblW w:w="8932"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6"/>
        <w:gridCol w:w="1514"/>
        <w:gridCol w:w="2325"/>
        <w:gridCol w:w="1328"/>
        <w:gridCol w:w="2123"/>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黑体" w:hAnsi="黑体" w:eastAsia="黑体"/>
                <w:bCs/>
                <w:sz w:val="24"/>
              </w:rPr>
            </w:pPr>
            <w:r>
              <w:rPr>
                <w:rFonts w:hint="eastAsia" w:ascii="黑体" w:hAnsi="黑体" w:eastAsia="黑体"/>
                <w:bCs/>
                <w:sz w:val="24"/>
              </w:rPr>
              <w:t>序号</w:t>
            </w:r>
          </w:p>
        </w:tc>
        <w:tc>
          <w:tcPr>
            <w:tcW w:w="151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黑体" w:hAnsi="黑体" w:eastAsia="黑体"/>
                <w:bCs/>
                <w:sz w:val="24"/>
              </w:rPr>
            </w:pPr>
            <w:r>
              <w:rPr>
                <w:rFonts w:hint="eastAsia" w:ascii="黑体" w:hAnsi="黑体" w:eastAsia="黑体"/>
                <w:bCs/>
                <w:sz w:val="24"/>
              </w:rPr>
              <w:t>检验项目</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84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ind w:left="38" w:leftChars="18" w:right="82" w:rightChars="39"/>
              <w:jc w:val="center"/>
              <w:rPr>
                <w:rFonts w:ascii="仿宋_GB2312" w:hAnsi="仿宋" w:eastAsia="仿宋_GB2312" w:cs="宋体"/>
                <w:sz w:val="24"/>
              </w:rPr>
            </w:pPr>
            <w:r>
              <w:rPr>
                <w:rFonts w:hint="eastAsia" w:ascii="仿宋_GB2312" w:hAnsi="仿宋" w:eastAsia="仿宋_GB2312" w:cs="宋体"/>
                <w:sz w:val="24"/>
              </w:rPr>
              <w:t>锐利边缘</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3.1.1</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3.1.1</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p>
            <w:pPr>
              <w:snapToGrid w:val="0"/>
              <w:jc w:val="center"/>
              <w:rPr>
                <w:rFonts w:ascii="仿宋_GB2312" w:hAnsi="宋体" w:eastAsia="仿宋_GB2312"/>
                <w:sz w:val="24"/>
                <w:szCs w:val="21"/>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2</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外露突出物</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3.1.2.1</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3.1.2.1</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3</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突出物禁区、保护装置和螺钉</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3.1.2.2</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3.1.2.2</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vMerge w:val="restart"/>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4</w:t>
            </w:r>
          </w:p>
        </w:tc>
        <w:tc>
          <w:tcPr>
            <w:tcW w:w="1514" w:type="dxa"/>
            <w:vMerge w:val="restart"/>
            <w:tcBorders>
              <w:top w:val="single" w:color="auto" w:sz="2" w:space="0"/>
              <w:left w:val="single" w:color="auto" w:sz="4" w:space="0"/>
              <w:bottom w:val="single" w:color="auto" w:sz="4" w:space="0"/>
              <w:right w:val="single" w:color="auto" w:sz="4" w:space="0"/>
            </w:tcBorders>
            <w:noWrap w:val="0"/>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仿宋" w:eastAsia="仿宋_GB2312" w:cs="宋体"/>
                <w:sz w:val="24"/>
              </w:rPr>
              <w:t>制动系统</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3.2.1.1</w:t>
            </w:r>
          </w:p>
        </w:tc>
        <w:tc>
          <w:tcPr>
            <w:tcW w:w="1328" w:type="dxa"/>
            <w:vMerge w:val="restart"/>
            <w:tcBorders>
              <w:top w:val="single" w:color="auto" w:sz="2" w:space="0"/>
              <w:left w:val="single" w:color="auto" w:sz="4" w:space="0"/>
              <w:bottom w:val="single" w:color="auto" w:sz="4" w:space="0"/>
              <w:right w:val="single" w:color="auto" w:sz="4"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3.2.1.1</w:t>
            </w:r>
          </w:p>
        </w:tc>
        <w:tc>
          <w:tcPr>
            <w:tcW w:w="846" w:type="dxa"/>
            <w:vMerge w:val="restart"/>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vMerge w:val="continue"/>
            <w:tcBorders>
              <w:top w:val="single" w:color="auto" w:sz="2" w:space="0"/>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bCs/>
                <w:sz w:val="24"/>
              </w:rPr>
            </w:pPr>
          </w:p>
        </w:tc>
        <w:tc>
          <w:tcPr>
            <w:tcW w:w="1514" w:type="dxa"/>
            <w:vMerge w:val="continue"/>
            <w:tcBorders>
              <w:top w:val="single" w:color="auto" w:sz="2"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4"/>
              </w:rPr>
            </w:pP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3.2.1.2</w:t>
            </w:r>
          </w:p>
        </w:tc>
        <w:tc>
          <w:tcPr>
            <w:tcW w:w="1328" w:type="dxa"/>
            <w:vMerge w:val="continue"/>
            <w:tcBorders>
              <w:top w:val="single" w:color="auto" w:sz="2" w:space="0"/>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sz w:val="24"/>
              </w:rPr>
            </w:pP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3.2.1.2</w:t>
            </w:r>
          </w:p>
        </w:tc>
        <w:tc>
          <w:tcPr>
            <w:tcW w:w="846" w:type="dxa"/>
            <w:vMerge w:val="continue"/>
            <w:tcBorders>
              <w:top w:val="single" w:color="auto" w:sz="2" w:space="0"/>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5</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闸把尺寸</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3.2.2.2</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3.2.2.2</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6</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手闸制动系统的强度</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3.2.4.1</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4.3.1</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7</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手闸制动性能试验</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3.2.5.1</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4.4</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8</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把横管</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3.3.1</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3.3.1</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9</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把横管的把套</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3.3.2</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3.3.2</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10</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把立管</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3.3.3</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3.3.3</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11</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车把稳定性</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3.3.4</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3.3.4</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vMerge w:val="restart"/>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12</w:t>
            </w:r>
          </w:p>
        </w:tc>
        <w:tc>
          <w:tcPr>
            <w:tcW w:w="1514" w:type="dxa"/>
            <w:vMerge w:val="restart"/>
            <w:tcBorders>
              <w:top w:val="single" w:color="auto" w:sz="2" w:space="0"/>
              <w:left w:val="single" w:color="auto" w:sz="4" w:space="0"/>
              <w:bottom w:val="single" w:color="auto" w:sz="4" w:space="0"/>
              <w:right w:val="single" w:color="auto" w:sz="4" w:space="0"/>
            </w:tcBorders>
            <w:noWrap w:val="0"/>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仿宋" w:eastAsia="仿宋_GB2312" w:cs="宋体"/>
                <w:sz w:val="24"/>
              </w:rPr>
              <w:t>车把部件的强度</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GB 14746-200</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63.3.5.1</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4.6.1</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vMerge w:val="continue"/>
            <w:tcBorders>
              <w:top w:val="single" w:color="auto" w:sz="2" w:space="0"/>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bCs/>
                <w:sz w:val="24"/>
              </w:rPr>
            </w:pPr>
          </w:p>
        </w:tc>
        <w:tc>
          <w:tcPr>
            <w:tcW w:w="1514" w:type="dxa"/>
            <w:vMerge w:val="continue"/>
            <w:tcBorders>
              <w:top w:val="single" w:color="auto" w:sz="2"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4"/>
              </w:rPr>
            </w:pP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3.3.5.2</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4.6.2</w:t>
            </w:r>
          </w:p>
        </w:tc>
        <w:tc>
          <w:tcPr>
            <w:tcW w:w="84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vMerge w:val="continue"/>
            <w:tcBorders>
              <w:top w:val="single" w:color="auto" w:sz="2" w:space="0"/>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bCs/>
                <w:sz w:val="24"/>
              </w:rPr>
            </w:pPr>
          </w:p>
        </w:tc>
        <w:tc>
          <w:tcPr>
            <w:tcW w:w="1514" w:type="dxa"/>
            <w:vMerge w:val="continue"/>
            <w:tcBorders>
              <w:top w:val="single" w:color="auto" w:sz="2"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4"/>
              </w:rPr>
            </w:pP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3.3.5.3</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4.6.3</w:t>
            </w:r>
          </w:p>
        </w:tc>
        <w:tc>
          <w:tcPr>
            <w:tcW w:w="84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13</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冲击试验（重物落下）</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3.4.1</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4.7.1</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14</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冲击试验（车架/前叉组合件落下）</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3.4.2</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4.7.2</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15</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间隙</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3.6.2</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3.6.2</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16</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前轮夹持力</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3.6.4.2</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3.6.4.2</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17</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后轮夹持力</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3.6.4.3</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3.6.4.3</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18</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地面间隙</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3.8.2.1</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3.8.2.1.1</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3.8.2.1.1</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19</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足尖间隙</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3.8.2.2</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3.8.2.2</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20</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脚蹬/曲柄组合件动态试验</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3.8.3</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4.9</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21</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限制尺寸</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3.9.1</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3.9.1</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22</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鞍管</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3.9.2</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3.9.2</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23</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鞍座调节夹紧装置</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3.9.3</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4.10</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24</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鞍座的强度</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3.9.4</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4.14</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25</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驱动系统静负荷试验</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3.10</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4.11</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26</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链罩</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3.11</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3.11</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27</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平衡轮尺寸</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3.12.1</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6"/>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3.12.1</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8932" w:type="dxa"/>
            <w:gridSpan w:val="6"/>
            <w:tcBorders>
              <w:top w:val="single" w:color="auto" w:sz="2" w:space="0"/>
              <w:left w:val="single" w:color="auto" w:sz="4" w:space="0"/>
              <w:bottom w:val="single" w:color="auto" w:sz="2" w:space="0"/>
              <w:right w:val="single" w:color="auto" w:sz="4" w:space="0"/>
            </w:tcBorders>
            <w:noWrap w:val="0"/>
            <w:vAlign w:val="center"/>
          </w:tcPr>
          <w:p>
            <w:pPr>
              <w:snapToGrid w:val="0"/>
              <w:jc w:val="left"/>
              <w:rPr>
                <w:rFonts w:ascii="仿宋_GB2312" w:hAnsi="仿宋" w:eastAsia="仿宋_GB2312"/>
                <w:bCs/>
                <w:szCs w:val="21"/>
              </w:rPr>
            </w:pPr>
            <w:r>
              <w:rPr>
                <w:rFonts w:hint="eastAsia" w:ascii="仿宋_GB2312" w:hAnsi="宋体" w:eastAsia="仿宋_GB2312"/>
                <w:szCs w:val="21"/>
              </w:rPr>
              <w:t>注：</w:t>
            </w:r>
            <w:r>
              <w:rPr>
                <w:rFonts w:hint="eastAsia" w:ascii="仿宋_GB2312" w:hAnsi="仿宋" w:eastAsia="仿宋_GB2312"/>
                <w:bCs/>
                <w:szCs w:val="21"/>
              </w:rPr>
              <w:t>复检样品为“</w:t>
            </w:r>
            <w:r>
              <w:rPr>
                <w:rFonts w:hint="eastAsia" w:ascii="仿宋_GB2312" w:hAnsi="仿宋" w:eastAsia="仿宋_GB2312"/>
                <w:szCs w:val="21"/>
              </w:rPr>
              <w:t>原样/备样</w:t>
            </w:r>
            <w:r>
              <w:rPr>
                <w:rFonts w:hint="eastAsia" w:ascii="仿宋_GB2312" w:hAnsi="仿宋" w:eastAsia="仿宋_GB2312"/>
                <w:bCs/>
                <w:szCs w:val="21"/>
              </w:rPr>
              <w:t>”时，原样品未损坏选择原样作为复检样品，原样品出现损坏选择备样作为复检样品。</w:t>
            </w:r>
          </w:p>
        </w:tc>
      </w:tr>
    </w:tbl>
    <w:p>
      <w:pPr>
        <w:widowControl/>
        <w:adjustRightInd w:val="0"/>
        <w:snapToGrid w:val="0"/>
        <w:spacing w:line="60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6.1.2儿童三轮车</w:t>
      </w:r>
    </w:p>
    <w:tbl>
      <w:tblPr>
        <w:tblStyle w:val="4"/>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702"/>
        <w:gridCol w:w="2334"/>
        <w:gridCol w:w="1276"/>
        <w:gridCol w:w="2126"/>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sz w:val="24"/>
              </w:rPr>
            </w:pPr>
            <w:r>
              <w:rPr>
                <w:rFonts w:hint="eastAsia" w:ascii="黑体" w:hAnsi="黑体" w:eastAsia="黑体"/>
                <w:bCs/>
                <w:sz w:val="24"/>
              </w:rPr>
              <w:t>序号</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sz w:val="24"/>
              </w:rPr>
            </w:pPr>
            <w:r>
              <w:rPr>
                <w:rFonts w:hint="eastAsia" w:ascii="黑体" w:hAnsi="黑体" w:eastAsia="黑体"/>
                <w:sz w:val="24"/>
              </w:rPr>
              <w:t>检验项目</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sz w:val="24"/>
              </w:rPr>
            </w:pPr>
            <w:r>
              <w:rPr>
                <w:rFonts w:hint="eastAsia" w:ascii="黑体" w:hAnsi="黑体" w:eastAsia="黑体"/>
                <w:sz w:val="24"/>
              </w:rPr>
              <w:t>检测依据</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sz w:val="24"/>
              </w:rPr>
            </w:pPr>
            <w:r>
              <w:rPr>
                <w:rFonts w:hint="eastAsia" w:ascii="黑体" w:hAnsi="黑体" w:eastAsia="黑体"/>
                <w:sz w:val="24"/>
              </w:rPr>
              <w:t>项目性质</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sz w:val="24"/>
              </w:rPr>
            </w:pPr>
            <w:r>
              <w:rPr>
                <w:rFonts w:hint="eastAsia" w:ascii="黑体" w:hAnsi="黑体" w:eastAsia="黑体"/>
                <w:sz w:val="24"/>
              </w:rPr>
              <w:t>检测方法</w:t>
            </w:r>
          </w:p>
        </w:tc>
        <w:tc>
          <w:tcPr>
            <w:tcW w:w="9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特定可迁移元素最大限量</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4.1.1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5.2</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2</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燃烧性能</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4.1.2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5.3</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3</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机械强度</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5.4</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锐利边缘</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4.3.1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5.5</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锐利尖端</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4.3.2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5.6</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6</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外露突出物</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4.3.3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4.3.3</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7</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挤夹点</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4.3.4</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4.3.4</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8</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小零件</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4.3.5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5.7</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9</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行驶稳定性</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4.4.1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5.8</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10</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连接紧固件</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4.5.1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4.5.1</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11</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防护罩帽</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4.5.2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4.5.2</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12</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把立管插入深度标记(把立管是可调节的结构)</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4.5.3.1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4.5.3.1</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13</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把立管强度</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4.5.3.2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5.11</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14</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把横管</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4.5.3.3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4.5.3.3</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15</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把横管两端</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4.5.3.4</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4.5.3.4</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16</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把立管夹紧装置</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4.5.3.5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5.12</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17</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鞍管插入深度(鞍管是可调节的机构)</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4.5.4.1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4.5.4.1</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18</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鞍座调节夹紧装置</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4.5.4.2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5.4、</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14747-2006 5.13</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19</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冲击强度</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4.5.5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5.14</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20</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靠背结构牢固性</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4.5.6</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5.15</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21</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辅助推杆强度</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4.5.7</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5.16</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22</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脚蹬离地高度</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4.5.8.2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5.17</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23</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适用年龄和体重</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4.6.2.4</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4.6.2.4</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24</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安全警示</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4.6.2.5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4.6.2.5</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157" w:type="dxa"/>
            <w:gridSpan w:val="6"/>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left"/>
              <w:rPr>
                <w:rFonts w:ascii="仿宋_GB2312" w:hAnsi="仿宋" w:eastAsia="仿宋_GB2312" w:cs="宋体"/>
                <w:szCs w:val="21"/>
              </w:rPr>
            </w:pPr>
            <w:r>
              <w:rPr>
                <w:rFonts w:hint="eastAsia" w:ascii="仿宋_GB2312" w:hAnsi="宋体" w:eastAsia="仿宋_GB2312"/>
                <w:szCs w:val="21"/>
              </w:rPr>
              <w:t>注：</w:t>
            </w:r>
            <w:r>
              <w:rPr>
                <w:rFonts w:hint="eastAsia" w:ascii="仿宋_GB2312" w:hAnsi="仿宋" w:eastAsia="仿宋_GB2312"/>
                <w:bCs/>
                <w:szCs w:val="21"/>
              </w:rPr>
              <w:t>复检样品为“</w:t>
            </w:r>
            <w:r>
              <w:rPr>
                <w:rFonts w:hint="eastAsia" w:ascii="仿宋_GB2312" w:hAnsi="仿宋" w:eastAsia="仿宋_GB2312"/>
                <w:szCs w:val="21"/>
              </w:rPr>
              <w:t>原样/备样</w:t>
            </w:r>
            <w:r>
              <w:rPr>
                <w:rFonts w:hint="eastAsia" w:ascii="仿宋_GB2312" w:hAnsi="仿宋" w:eastAsia="仿宋_GB2312"/>
                <w:bCs/>
                <w:szCs w:val="21"/>
              </w:rPr>
              <w:t>”时，原样品未损坏选择原样作为复检样品，原样品出现损坏选择备样作为复检样品。</w:t>
            </w:r>
          </w:p>
        </w:tc>
      </w:tr>
    </w:tbl>
    <w:p>
      <w:pPr>
        <w:pStyle w:val="7"/>
        <w:spacing w:before="78" w:after="109" w:line="640" w:lineRule="exact"/>
        <w:ind w:firstLine="562"/>
        <w:jc w:val="both"/>
        <w:rPr>
          <w:rFonts w:hAnsi="宋体"/>
          <w:b/>
          <w:bCs w:val="0"/>
          <w:kern w:val="2"/>
          <w:sz w:val="28"/>
          <w:szCs w:val="28"/>
        </w:rPr>
      </w:pPr>
      <w:r>
        <w:rPr>
          <w:rFonts w:hint="eastAsia" w:hAnsi="宋体"/>
          <w:b/>
          <w:bCs w:val="0"/>
          <w:kern w:val="2"/>
          <w:sz w:val="28"/>
          <w:szCs w:val="28"/>
        </w:rPr>
        <w:t>6.1.3儿童推车</w:t>
      </w:r>
    </w:p>
    <w:tbl>
      <w:tblPr>
        <w:tblStyle w:val="4"/>
        <w:tblW w:w="92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676"/>
        <w:gridCol w:w="2505"/>
        <w:gridCol w:w="1276"/>
        <w:gridCol w:w="1984"/>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ascii="黑体" w:hAnsi="黑体" w:eastAsia="黑体"/>
                <w:sz w:val="24"/>
              </w:rPr>
            </w:pPr>
            <w:r>
              <w:rPr>
                <w:rFonts w:hint="eastAsia" w:ascii="黑体" w:hAnsi="黑体" w:eastAsia="黑体"/>
                <w:bCs/>
                <w:sz w:val="24"/>
              </w:rPr>
              <w:t>序号</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ascii="黑体" w:hAnsi="黑体" w:eastAsia="黑体"/>
                <w:sz w:val="24"/>
              </w:rPr>
            </w:pPr>
            <w:r>
              <w:rPr>
                <w:rFonts w:hint="eastAsia" w:ascii="黑体" w:hAnsi="黑体" w:eastAsia="黑体"/>
                <w:sz w:val="24"/>
              </w:rPr>
              <w:t>检验项目</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ascii="黑体" w:hAnsi="黑体" w:eastAsia="黑体"/>
                <w:sz w:val="24"/>
              </w:rPr>
            </w:pPr>
            <w:r>
              <w:rPr>
                <w:rFonts w:hint="eastAsia" w:ascii="黑体" w:hAnsi="黑体" w:eastAsia="黑体"/>
                <w:sz w:val="24"/>
              </w:rPr>
              <w:t>检测依据</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ascii="黑体" w:hAnsi="黑体" w:eastAsia="黑体"/>
                <w:sz w:val="24"/>
              </w:rPr>
            </w:pPr>
            <w:r>
              <w:rPr>
                <w:rFonts w:hint="eastAsia" w:ascii="黑体" w:hAnsi="黑体" w:eastAsia="黑体"/>
                <w:sz w:val="24"/>
              </w:rPr>
              <w:t>项目性质</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ascii="黑体" w:hAnsi="黑体" w:eastAsia="黑体"/>
                <w:sz w:val="24"/>
              </w:rPr>
            </w:pPr>
            <w:r>
              <w:rPr>
                <w:rFonts w:hint="eastAsia" w:ascii="黑体" w:hAnsi="黑体" w:eastAsia="黑体"/>
                <w:sz w:val="24"/>
              </w:rPr>
              <w:t>检测方法</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材料质量</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4.1.1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4.1.1</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2</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特定可迁移元素最大限量</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GB14748-200</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64.1.2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5.6</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3</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金属表面</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4.2</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燃烧性能</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4.3</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外露的开口管子</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4.4.1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4.4.1</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6</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危险夹缝</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4.4.2.1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5.7a）</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5.7b）</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7</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剪切和挤夹点</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4.4.2.2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5.7a）</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8</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锐利边缘和尖端</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4.4.3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GB6675-2003</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A5.8</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GB6675-2003</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A5.9</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9</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小零件</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4.4.4</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4.4.4</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10</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外露突出物</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4.4.5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4.4.5</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11</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机械部件的连接</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4.4.6</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4.4.6</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12</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卧兜的最小内部高度</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4.5.1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4.5.1</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13</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座兜的座垫与靠背的角度和靠背的高度</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4.5.2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5.9</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5.10</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14</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推车的适用年龄</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4.6</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4.6</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5.21</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15</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卧兜和座兜连接在车架上的装置</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4.7</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4.7</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16</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稳定性</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4.8</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5.11</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17</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手把强度</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4.9</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5.12</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18</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制动装置</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4.10</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5.13</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5.18</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19</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折叠锁定装置</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4.11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4.1</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5.14</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20</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可拆卸卧兜或座兜的连接装置的强度和耐用性</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4.12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5.15</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21</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束缚系统的强度</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4.13.1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5.16.1</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22</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安全带扣的强度</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4.13.3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5.16.3</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23</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车轮的强度</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4.14</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5.17</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24</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动态耐久性试验</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4.15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5.18</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25</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撞击强度</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4.16</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5.19</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26</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静态强度</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4.17</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5.20</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27</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适用年龄和体重</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7.2.4</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7.2.4</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28</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安全警示</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7.2.5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7.2.5</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213" w:type="dxa"/>
            <w:gridSpan w:val="6"/>
            <w:tcBorders>
              <w:top w:val="single" w:color="auto" w:sz="4" w:space="0"/>
              <w:left w:val="single" w:color="auto" w:sz="4" w:space="0"/>
              <w:bottom w:val="single" w:color="auto" w:sz="4" w:space="0"/>
              <w:right w:val="single" w:color="auto" w:sz="4" w:space="0"/>
            </w:tcBorders>
            <w:noWrap w:val="0"/>
            <w:vAlign w:val="center"/>
          </w:tcPr>
          <w:p>
            <w:pPr>
              <w:pStyle w:val="7"/>
              <w:spacing w:before="78" w:after="109" w:line="0" w:lineRule="atLeast"/>
              <w:ind w:firstLine="0" w:firstLineChars="0"/>
              <w:rPr>
                <w:rFonts w:ascii="黑体" w:hAnsi="黑体" w:eastAsia="黑体"/>
                <w:sz w:val="21"/>
                <w:szCs w:val="21"/>
              </w:rPr>
            </w:pPr>
            <w:r>
              <w:rPr>
                <w:rFonts w:hint="eastAsia" w:hAnsi="仿宋" w:cs="宋体"/>
                <w:bCs w:val="0"/>
                <w:kern w:val="2"/>
                <w:sz w:val="21"/>
                <w:szCs w:val="21"/>
              </w:rPr>
              <w:t>注：复检样品为“原样/备样”时，原样品未损坏选择原样作为复检样品，原样品出现损坏选择备样作为复检样品。</w:t>
            </w:r>
          </w:p>
        </w:tc>
      </w:tr>
    </w:tbl>
    <w:p>
      <w:pPr>
        <w:pStyle w:val="7"/>
        <w:spacing w:before="78" w:after="109" w:line="640" w:lineRule="exact"/>
        <w:ind w:firstLine="562"/>
        <w:jc w:val="both"/>
        <w:rPr>
          <w:rFonts w:hAnsi="宋体"/>
          <w:b/>
          <w:bCs w:val="0"/>
          <w:kern w:val="2"/>
          <w:sz w:val="28"/>
          <w:szCs w:val="28"/>
        </w:rPr>
      </w:pPr>
      <w:r>
        <w:rPr>
          <w:rFonts w:hint="eastAsia" w:hAnsi="宋体"/>
          <w:b/>
          <w:bCs w:val="0"/>
          <w:kern w:val="2"/>
          <w:sz w:val="28"/>
          <w:szCs w:val="28"/>
        </w:rPr>
        <w:t>6.1.4婴儿学步车</w:t>
      </w:r>
    </w:p>
    <w:tbl>
      <w:tblPr>
        <w:tblStyle w:val="4"/>
        <w:tblW w:w="94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723"/>
        <w:gridCol w:w="2530"/>
        <w:gridCol w:w="1276"/>
        <w:gridCol w:w="1984"/>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黑体" w:hAnsi="黑体" w:eastAsia="黑体" w:cs="宋体"/>
                <w:sz w:val="24"/>
              </w:rPr>
            </w:pPr>
            <w:r>
              <w:rPr>
                <w:rFonts w:hint="eastAsia" w:ascii="黑体" w:hAnsi="黑体" w:eastAsia="黑体" w:cs="宋体"/>
                <w:sz w:val="24"/>
              </w:rPr>
              <w:t>序号</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黑体" w:hAnsi="黑体" w:eastAsia="黑体" w:cs="宋体"/>
                <w:sz w:val="24"/>
              </w:rPr>
            </w:pPr>
            <w:r>
              <w:rPr>
                <w:rFonts w:hint="eastAsia" w:ascii="黑体" w:hAnsi="黑体" w:eastAsia="黑体" w:cs="宋体"/>
                <w:sz w:val="24"/>
              </w:rPr>
              <w:t>检验项目</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黑体" w:hAnsi="黑体" w:eastAsia="黑体" w:cs="宋体"/>
                <w:sz w:val="24"/>
              </w:rPr>
            </w:pPr>
            <w:r>
              <w:rPr>
                <w:rFonts w:hint="eastAsia" w:ascii="黑体" w:hAnsi="黑体" w:eastAsia="黑体" w:cs="宋体"/>
                <w:sz w:val="24"/>
              </w:rPr>
              <w:t>检测依据</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黑体" w:hAnsi="黑体" w:eastAsia="黑体" w:cs="宋体"/>
                <w:sz w:val="24"/>
              </w:rPr>
            </w:pPr>
            <w:r>
              <w:rPr>
                <w:rFonts w:hint="eastAsia" w:ascii="黑体" w:hAnsi="黑体" w:eastAsia="黑体" w:cs="宋体"/>
                <w:sz w:val="24"/>
              </w:rPr>
              <w:t>项目性质</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黑体" w:hAnsi="黑体" w:eastAsia="黑体" w:cs="宋体"/>
                <w:sz w:val="24"/>
              </w:rPr>
            </w:pPr>
            <w:r>
              <w:rPr>
                <w:rFonts w:hint="eastAsia" w:ascii="黑体" w:hAnsi="黑体" w:eastAsia="黑体" w:cs="宋体"/>
                <w:sz w:val="24"/>
              </w:rPr>
              <w:t>检测方法</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黑体" w:hAnsi="黑体" w:eastAsia="黑体" w:cs="宋体"/>
                <w:sz w:val="24"/>
              </w:rPr>
            </w:pPr>
            <w:r>
              <w:rPr>
                <w:rFonts w:hint="eastAsia" w:ascii="黑体" w:hAnsi="黑体" w:eastAsia="黑体" w:cs="宋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材料质量</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4.1.1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5.3</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2</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特定可迁移元素最大限量</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4.1.2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4.1.2</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3</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金属表面</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4.2</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木制部件</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4.3.1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4.3.1</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危险夹缝及孔、开口</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4.3.2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5.4</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6</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弹簧</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4.3.3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5.9</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7</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外露突出物</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4.3.4</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4.3.4</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8</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可触及部件</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4.3.5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GB6675-2003</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A4.4、A4.5、A4.6、A4.7、A4.9</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9</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绳索/弹性绳等绳状物</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4.3.6</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4.3.6</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10</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锁定、折叠和框架调节装置</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4.3.7</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5.6</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11</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挤夹、剪切</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4.3.8</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5.4</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12</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跨带宽度</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4.3.9</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4.3.9</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13</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座位</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4.3.10</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5.7</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14</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学步车脚轮</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4.3.11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4.3.11</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15</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框架离地高度</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4.3.12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4.3.12</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16</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防撞间距</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4.3.13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5.8</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17</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静态稳定性</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4.4</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5.9</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18</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动态稳定性</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5.10</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19</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静态强度</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4.6</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5.11</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20</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动态强度</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4.7</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5.12</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21</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碰撞强度</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14749-2006 4.8</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5.13</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GB6675-2003</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A4.4、A4.6、A4.7</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22</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燃烧性能</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4.9</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4.9</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23</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适用年龄和体重</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4.11.2.4</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4.11.2.4</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24</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安全警示</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4.11.2.5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4.11.2.5</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419" w:type="dxa"/>
            <w:gridSpan w:val="6"/>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left"/>
              <w:rPr>
                <w:rFonts w:ascii="仿宋_GB2312" w:hAnsi="仿宋" w:eastAsia="仿宋_GB2312" w:cs="宋体"/>
                <w:szCs w:val="21"/>
              </w:rPr>
            </w:pPr>
            <w:r>
              <w:rPr>
                <w:rFonts w:hint="eastAsia" w:ascii="仿宋_GB2312" w:hAnsi="仿宋" w:eastAsia="仿宋_GB2312" w:cs="宋体"/>
                <w:szCs w:val="21"/>
              </w:rPr>
              <w:t>注：复检样品为“原样/备样”时，原样品未损坏选择原样作为复检样品，原样品出现损坏选择备样作为复检样品。</w:t>
            </w:r>
          </w:p>
        </w:tc>
      </w:tr>
    </w:tbl>
    <w:p>
      <w:pPr>
        <w:pStyle w:val="7"/>
        <w:spacing w:beforeLines="0" w:afterLines="0" w:line="640" w:lineRule="exact"/>
        <w:ind w:firstLine="562"/>
        <w:jc w:val="both"/>
        <w:rPr>
          <w:rFonts w:hAnsi="宋体"/>
          <w:b/>
          <w:bCs w:val="0"/>
          <w:kern w:val="2"/>
          <w:sz w:val="28"/>
          <w:szCs w:val="28"/>
        </w:rPr>
      </w:pPr>
      <w:r>
        <w:rPr>
          <w:rFonts w:hint="eastAsia" w:hAnsi="宋体"/>
          <w:b/>
          <w:bCs w:val="0"/>
          <w:kern w:val="2"/>
          <w:sz w:val="28"/>
          <w:szCs w:val="28"/>
        </w:rPr>
        <w:t>6.1.5儿童滑板车</w:t>
      </w:r>
    </w:p>
    <w:tbl>
      <w:tblPr>
        <w:tblStyle w:val="4"/>
        <w:tblW w:w="9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701"/>
        <w:gridCol w:w="2498"/>
        <w:gridCol w:w="1369"/>
        <w:gridCol w:w="2034"/>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pStyle w:val="7"/>
              <w:spacing w:before="78" w:after="109"/>
              <w:ind w:firstLine="0" w:firstLineChars="0"/>
              <w:jc w:val="center"/>
              <w:rPr>
                <w:rFonts w:ascii="黑体" w:hAnsi="黑体" w:eastAsia="黑体"/>
                <w:sz w:val="24"/>
              </w:rPr>
            </w:pPr>
            <w:r>
              <w:rPr>
                <w:rFonts w:hint="eastAsia" w:ascii="黑体" w:hAnsi="黑体" w:eastAsia="黑体"/>
                <w:sz w:val="24"/>
              </w:rPr>
              <w:t>序号</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7"/>
              <w:spacing w:before="78" w:after="109"/>
              <w:ind w:firstLine="0" w:firstLineChars="0"/>
              <w:jc w:val="center"/>
              <w:rPr>
                <w:rFonts w:ascii="黑体" w:hAnsi="黑体" w:eastAsia="黑体"/>
                <w:sz w:val="24"/>
              </w:rPr>
            </w:pPr>
            <w:r>
              <w:rPr>
                <w:rFonts w:hint="eastAsia" w:ascii="黑体" w:hAnsi="黑体" w:eastAsia="黑体"/>
                <w:sz w:val="24"/>
              </w:rPr>
              <w:t>检验项目</w:t>
            </w:r>
          </w:p>
        </w:tc>
        <w:tc>
          <w:tcPr>
            <w:tcW w:w="2498" w:type="dxa"/>
            <w:tcBorders>
              <w:top w:val="single" w:color="auto" w:sz="4" w:space="0"/>
              <w:left w:val="single" w:color="auto" w:sz="4" w:space="0"/>
              <w:bottom w:val="single" w:color="auto" w:sz="4" w:space="0"/>
              <w:right w:val="single" w:color="auto" w:sz="4" w:space="0"/>
            </w:tcBorders>
            <w:noWrap w:val="0"/>
            <w:vAlign w:val="center"/>
          </w:tcPr>
          <w:p>
            <w:pPr>
              <w:pStyle w:val="7"/>
              <w:spacing w:before="78" w:after="109"/>
              <w:ind w:firstLine="0" w:firstLineChars="0"/>
              <w:jc w:val="center"/>
              <w:rPr>
                <w:rFonts w:ascii="黑体" w:hAnsi="黑体" w:eastAsia="黑体"/>
                <w:sz w:val="24"/>
              </w:rPr>
            </w:pPr>
            <w:r>
              <w:rPr>
                <w:rFonts w:hint="eastAsia" w:ascii="黑体" w:hAnsi="黑体" w:eastAsia="黑体"/>
                <w:sz w:val="24"/>
              </w:rPr>
              <w:t>检测依据</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pStyle w:val="7"/>
              <w:spacing w:before="78" w:after="109"/>
              <w:ind w:firstLine="0" w:firstLineChars="0"/>
              <w:jc w:val="center"/>
              <w:rPr>
                <w:rFonts w:ascii="黑体" w:hAnsi="黑体" w:eastAsia="黑体"/>
                <w:sz w:val="24"/>
              </w:rPr>
            </w:pPr>
            <w:r>
              <w:rPr>
                <w:rFonts w:hint="eastAsia" w:ascii="黑体" w:hAnsi="黑体" w:eastAsia="黑体"/>
                <w:sz w:val="24"/>
              </w:rPr>
              <w:t>项目性质</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pStyle w:val="7"/>
              <w:spacing w:before="78" w:after="109"/>
              <w:ind w:firstLine="0" w:firstLineChars="0"/>
              <w:jc w:val="center"/>
              <w:rPr>
                <w:rFonts w:ascii="黑体" w:hAnsi="黑体" w:eastAsia="黑体"/>
                <w:sz w:val="24"/>
              </w:rPr>
            </w:pPr>
            <w:r>
              <w:rPr>
                <w:rFonts w:hint="eastAsia" w:ascii="黑体" w:hAnsi="黑体" w:eastAsia="黑体"/>
                <w:sz w:val="24"/>
              </w:rPr>
              <w:t>检测方法</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Style w:val="7"/>
              <w:spacing w:before="78" w:after="109"/>
              <w:ind w:firstLine="0" w:firstLineChars="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1</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机械与物理性能</w:t>
            </w:r>
          </w:p>
        </w:tc>
        <w:tc>
          <w:tcPr>
            <w:tcW w:w="249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6675.1-2014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5.1</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6675.2-2014</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6675.2-2014</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2</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易燃性能</w:t>
            </w:r>
          </w:p>
        </w:tc>
        <w:tc>
          <w:tcPr>
            <w:tcW w:w="249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6675.1-2014 </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5.2</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6675.3-2014</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6675.3-2014</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3</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特定元素迁移</w:t>
            </w:r>
          </w:p>
        </w:tc>
        <w:tc>
          <w:tcPr>
            <w:tcW w:w="249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6675.1-2014</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5.3.3</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6675.4-2014</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6675.4-2014</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4</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增塑剂</w:t>
            </w:r>
          </w:p>
        </w:tc>
        <w:tc>
          <w:tcPr>
            <w:tcW w:w="249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 6675.1-2014 5.3.7</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GB/T</w:t>
            </w:r>
            <w:r>
              <w:rPr>
                <w:rFonts w:ascii="仿宋_GB2312" w:hAnsi="仿宋" w:eastAsia="仿宋_GB2312" w:cs="宋体"/>
                <w:sz w:val="24"/>
              </w:rPr>
              <w:t xml:space="preserve"> </w:t>
            </w:r>
            <w:r>
              <w:rPr>
                <w:rFonts w:hint="eastAsia" w:ascii="仿宋_GB2312" w:hAnsi="仿宋" w:eastAsia="仿宋_GB2312" w:cs="宋体"/>
                <w:sz w:val="24"/>
              </w:rPr>
              <w:t>22048-</w:t>
            </w:r>
          </w:p>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2015</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5</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突出部件</w:t>
            </w:r>
          </w:p>
        </w:tc>
        <w:tc>
          <w:tcPr>
            <w:tcW w:w="249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6675.12-2014 4.7</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强制性</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6675.2-2014 4.8</w:t>
            </w:r>
          </w:p>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GB6675.12-2014</w:t>
            </w:r>
          </w:p>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4.7.2</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6</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强度</w:t>
            </w:r>
          </w:p>
        </w:tc>
        <w:tc>
          <w:tcPr>
            <w:tcW w:w="249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6675.12-2014 4.11</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强制性</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GB6675.12-2014</w:t>
            </w:r>
          </w:p>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4.11、5.1、 5.2、5.4</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7</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三轮滑板车的稳定性</w:t>
            </w:r>
          </w:p>
        </w:tc>
        <w:tc>
          <w:tcPr>
            <w:tcW w:w="249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6675.12-2014 4.12</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强制性</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6675.2-2014</w:t>
            </w:r>
          </w:p>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5.12.2</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8</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可调节、可折叠的把立管和把横管</w:t>
            </w:r>
          </w:p>
        </w:tc>
        <w:tc>
          <w:tcPr>
            <w:tcW w:w="249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6675.12-2014</w:t>
            </w:r>
          </w:p>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4.13</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强制性</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w:t>
            </w:r>
          </w:p>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6675.12-2014</w:t>
            </w:r>
          </w:p>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4.13</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9</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刹车</w:t>
            </w:r>
          </w:p>
        </w:tc>
        <w:tc>
          <w:tcPr>
            <w:tcW w:w="249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6675.12-2014 4.14</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强制性</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6675.12-2014</w:t>
            </w:r>
          </w:p>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5.3</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10</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车轮尺寸</w:t>
            </w:r>
          </w:p>
        </w:tc>
        <w:tc>
          <w:tcPr>
            <w:tcW w:w="249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6675.12-2014 4.15</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强制性</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6675.12-2014</w:t>
            </w:r>
          </w:p>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4.15</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11</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标识和警告</w:t>
            </w:r>
          </w:p>
        </w:tc>
        <w:tc>
          <w:tcPr>
            <w:tcW w:w="2498"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6675.12-2014 4.17.1</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强制性</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6675.12-2014 4.17.1</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04" w:type="dxa"/>
            <w:gridSpan w:val="6"/>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jc w:val="left"/>
              <w:rPr>
                <w:rFonts w:ascii="仿宋_GB2312" w:hAnsi="宋体" w:eastAsia="仿宋_GB2312"/>
                <w:szCs w:val="21"/>
              </w:rPr>
            </w:pPr>
            <w:r>
              <w:rPr>
                <w:rFonts w:hint="eastAsia" w:ascii="仿宋_GB2312" w:hAnsi="宋体" w:eastAsia="仿宋_GB2312"/>
                <w:szCs w:val="21"/>
              </w:rPr>
              <w:t>注1：</w:t>
            </w:r>
            <w:r>
              <w:rPr>
                <w:rFonts w:ascii="仿宋_GB2312" w:hAnsi="宋体" w:eastAsia="仿宋_GB2312"/>
                <w:szCs w:val="21"/>
              </w:rPr>
              <w:t>机械与物理性能</w:t>
            </w:r>
            <w:r>
              <w:rPr>
                <w:rFonts w:hint="eastAsia" w:ascii="仿宋_GB2312" w:hAnsi="宋体" w:eastAsia="仿宋_GB2312"/>
                <w:szCs w:val="21"/>
              </w:rPr>
              <w:t>正常使用不合格项目原则上使用原样进行复检，但因可预见的合理滥用测试导致样品被破坏而使原样不能用于复检时，可用备样复检；可预见的合理滥用测试不合格，应使用备样进行复检。机械与物理性能应对所有适用项目进行测试，不适用的项目应在报告中予以说明。</w:t>
            </w:r>
          </w:p>
          <w:p>
            <w:pPr>
              <w:jc w:val="left"/>
              <w:rPr>
                <w:rFonts w:ascii="仿宋_GB2312" w:hAnsi="宋体" w:eastAsia="仿宋_GB2312"/>
                <w:szCs w:val="21"/>
              </w:rPr>
            </w:pPr>
            <w:r>
              <w:rPr>
                <w:rFonts w:hint="eastAsia" w:ascii="仿宋_GB2312" w:hAnsi="宋体" w:eastAsia="仿宋_GB2312"/>
                <w:szCs w:val="21"/>
              </w:rPr>
              <w:t>注2：特定元素的迁移项目原则上使用原样复检，但原样样品量不足时，可使用备样复检。</w:t>
            </w:r>
          </w:p>
          <w:p>
            <w:pPr>
              <w:pStyle w:val="6"/>
              <w:adjustRightInd w:val="0"/>
              <w:snapToGrid w:val="0"/>
              <w:jc w:val="left"/>
              <w:rPr>
                <w:rFonts w:ascii="仿宋_GB2312" w:hAnsi="仿宋" w:eastAsia="仿宋_GB2312" w:cs="宋体"/>
                <w:szCs w:val="21"/>
              </w:rPr>
            </w:pPr>
            <w:r>
              <w:rPr>
                <w:rFonts w:hint="eastAsia" w:ascii="仿宋_GB2312" w:hAnsi="宋体" w:eastAsia="仿宋_GB2312"/>
                <w:szCs w:val="21"/>
              </w:rPr>
              <w:t>注3：增塑剂项目优先选取软胶、皮革或涂层等2个材料进行测试，取样量不足0.1g时不进行测试。增塑剂项目原则上使用原样复检，但原样样品量不足时，可使用备样复检。</w:t>
            </w:r>
          </w:p>
          <w:p>
            <w:pPr>
              <w:pStyle w:val="6"/>
              <w:adjustRightInd w:val="0"/>
              <w:snapToGrid w:val="0"/>
              <w:jc w:val="left"/>
              <w:rPr>
                <w:rFonts w:ascii="仿宋_GB2312" w:hAnsi="仿宋" w:eastAsia="仿宋_GB2312" w:cs="宋体"/>
                <w:sz w:val="24"/>
              </w:rPr>
            </w:pPr>
            <w:r>
              <w:rPr>
                <w:rFonts w:hint="eastAsia" w:ascii="仿宋_GB2312" w:hAnsi="宋体" w:eastAsia="仿宋_GB2312"/>
                <w:szCs w:val="21"/>
              </w:rPr>
              <w:t>注4：对序号5-10检验项目，不适用的项目在报告中予以说明。</w:t>
            </w:r>
          </w:p>
        </w:tc>
      </w:tr>
    </w:tbl>
    <w:p>
      <w:pPr>
        <w:pStyle w:val="7"/>
        <w:spacing w:beforeLines="0" w:afterLines="0" w:line="640" w:lineRule="exact"/>
        <w:ind w:firstLineChars="71"/>
        <w:jc w:val="both"/>
        <w:rPr>
          <w:rFonts w:hAnsi="宋体"/>
          <w:b/>
          <w:bCs w:val="0"/>
          <w:kern w:val="2"/>
          <w:sz w:val="28"/>
          <w:szCs w:val="28"/>
        </w:rPr>
      </w:pPr>
      <w:r>
        <w:rPr>
          <w:rFonts w:hint="eastAsia" w:hAnsi="宋体"/>
          <w:b/>
          <w:bCs w:val="0"/>
          <w:kern w:val="2"/>
          <w:sz w:val="28"/>
          <w:szCs w:val="28"/>
        </w:rPr>
        <w:t>6.1.6其他类童车</w:t>
      </w:r>
    </w:p>
    <w:tbl>
      <w:tblPr>
        <w:tblStyle w:val="4"/>
        <w:tblW w:w="95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842"/>
        <w:gridCol w:w="2417"/>
        <w:gridCol w:w="1409"/>
        <w:gridCol w:w="2084"/>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pStyle w:val="7"/>
              <w:spacing w:before="78" w:after="109" w:line="0" w:lineRule="atLeast"/>
              <w:ind w:firstLine="0" w:firstLineChars="0"/>
              <w:jc w:val="center"/>
              <w:rPr>
                <w:rFonts w:ascii="黑体" w:hAnsi="黑体" w:eastAsia="黑体"/>
                <w:sz w:val="24"/>
              </w:rPr>
            </w:pPr>
            <w:r>
              <w:rPr>
                <w:rFonts w:hint="eastAsia" w:ascii="黑体" w:hAnsi="黑体" w:eastAsia="黑体"/>
                <w:sz w:val="24"/>
              </w:rPr>
              <w:t>序号</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pStyle w:val="7"/>
              <w:spacing w:before="78" w:after="109" w:line="0" w:lineRule="atLeast"/>
              <w:ind w:firstLine="0" w:firstLineChars="0"/>
              <w:jc w:val="center"/>
              <w:rPr>
                <w:rFonts w:ascii="黑体" w:hAnsi="黑体" w:eastAsia="黑体"/>
                <w:sz w:val="24"/>
              </w:rPr>
            </w:pPr>
            <w:r>
              <w:rPr>
                <w:rFonts w:hint="eastAsia" w:ascii="黑体" w:hAnsi="黑体" w:eastAsia="黑体"/>
                <w:sz w:val="24"/>
              </w:rPr>
              <w:t>检验项目</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pStyle w:val="7"/>
              <w:spacing w:before="78" w:after="109" w:line="0" w:lineRule="atLeast"/>
              <w:ind w:firstLine="0" w:firstLineChars="0"/>
              <w:jc w:val="center"/>
              <w:rPr>
                <w:rFonts w:ascii="黑体" w:hAnsi="黑体" w:eastAsia="黑体"/>
                <w:sz w:val="24"/>
              </w:rPr>
            </w:pPr>
            <w:r>
              <w:rPr>
                <w:rFonts w:hint="eastAsia" w:ascii="黑体" w:hAnsi="黑体" w:eastAsia="黑体"/>
                <w:sz w:val="24"/>
              </w:rPr>
              <w:t>检测依据</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pStyle w:val="7"/>
              <w:spacing w:before="78" w:after="109" w:line="0" w:lineRule="atLeast"/>
              <w:ind w:firstLine="0" w:firstLineChars="0"/>
              <w:jc w:val="center"/>
              <w:rPr>
                <w:rFonts w:ascii="黑体" w:hAnsi="黑体" w:eastAsia="黑体"/>
                <w:sz w:val="24"/>
              </w:rPr>
            </w:pPr>
            <w:r>
              <w:rPr>
                <w:rFonts w:hint="eastAsia" w:ascii="黑体" w:hAnsi="黑体" w:eastAsia="黑体"/>
                <w:sz w:val="24"/>
              </w:rPr>
              <w:t>项目性质</w:t>
            </w:r>
          </w:p>
        </w:tc>
        <w:tc>
          <w:tcPr>
            <w:tcW w:w="2084" w:type="dxa"/>
            <w:tcBorders>
              <w:top w:val="single" w:color="auto" w:sz="4" w:space="0"/>
              <w:left w:val="single" w:color="auto" w:sz="4" w:space="0"/>
              <w:bottom w:val="single" w:color="auto" w:sz="4" w:space="0"/>
              <w:right w:val="single" w:color="auto" w:sz="4" w:space="0"/>
            </w:tcBorders>
            <w:noWrap w:val="0"/>
            <w:vAlign w:val="center"/>
          </w:tcPr>
          <w:p>
            <w:pPr>
              <w:pStyle w:val="7"/>
              <w:spacing w:before="78" w:after="109" w:line="0" w:lineRule="atLeast"/>
              <w:ind w:firstLine="0" w:firstLineChars="0"/>
              <w:jc w:val="center"/>
              <w:rPr>
                <w:rFonts w:ascii="黑体" w:hAnsi="黑体" w:eastAsia="黑体"/>
                <w:sz w:val="24"/>
              </w:rPr>
            </w:pPr>
            <w:r>
              <w:rPr>
                <w:rFonts w:hint="eastAsia" w:ascii="黑体" w:hAnsi="黑体" w:eastAsia="黑体"/>
                <w:sz w:val="24"/>
              </w:rPr>
              <w:t>检测方法</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pStyle w:val="7"/>
              <w:spacing w:before="78" w:after="109" w:line="0" w:lineRule="atLeast"/>
              <w:ind w:firstLine="0" w:firstLineChars="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1</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机械与物理性能</w:t>
            </w:r>
            <w:r>
              <w:rPr>
                <w:rFonts w:hint="eastAsia" w:ascii="仿宋_GB2312" w:hAnsi="仿宋" w:eastAsia="仿宋_GB2312" w:cs="宋体"/>
                <w:sz w:val="24"/>
                <w:vertAlign w:val="superscript"/>
              </w:rPr>
              <w:t>1</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6675.1-2014 5.1、</w:t>
            </w:r>
          </w:p>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6675.2-2014</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强制性</w:t>
            </w:r>
          </w:p>
        </w:tc>
        <w:tc>
          <w:tcPr>
            <w:tcW w:w="20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6675.2-2014</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2</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易燃性能</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6675.1-2014 5.2</w:t>
            </w:r>
          </w:p>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6675.3-2014</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强制性</w:t>
            </w:r>
          </w:p>
        </w:tc>
        <w:tc>
          <w:tcPr>
            <w:tcW w:w="20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6675.3-2014</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3</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特定元素迁移</w:t>
            </w:r>
            <w:r>
              <w:rPr>
                <w:rFonts w:hint="eastAsia" w:ascii="仿宋_GB2312" w:hAnsi="仿宋" w:eastAsia="仿宋_GB2312" w:cs="宋体"/>
                <w:sz w:val="24"/>
                <w:vertAlign w:val="superscript"/>
              </w:rPr>
              <w:t>2</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6675.1-2014 5.3.3、</w:t>
            </w:r>
          </w:p>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6675.4-2014</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强制性</w:t>
            </w:r>
          </w:p>
        </w:tc>
        <w:tc>
          <w:tcPr>
            <w:tcW w:w="20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6675.4-2014</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4</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增塑剂</w:t>
            </w:r>
            <w:r>
              <w:rPr>
                <w:rFonts w:hint="eastAsia" w:ascii="仿宋_GB2312" w:hAnsi="仿宋" w:eastAsia="仿宋_GB2312" w:cs="宋体"/>
                <w:sz w:val="24"/>
                <w:vertAlign w:val="superscript"/>
              </w:rPr>
              <w:t>3</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6675.1-2014 5.3.7</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强制性</w:t>
            </w:r>
          </w:p>
        </w:tc>
        <w:tc>
          <w:tcPr>
            <w:tcW w:w="20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GB/T 22048-2015</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5</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玩具标识（年龄范围、玩具警告标识）</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6675.1-2014 5.7</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强制性</w:t>
            </w:r>
          </w:p>
        </w:tc>
        <w:tc>
          <w:tcPr>
            <w:tcW w:w="20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 xml:space="preserve">GB/T 28022-2011 GB 6675.1-2014 5.7 </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07" w:type="dxa"/>
            <w:gridSpan w:val="6"/>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0" w:lineRule="atLeast"/>
              <w:jc w:val="left"/>
              <w:rPr>
                <w:rFonts w:ascii="仿宋_GB2312" w:hAnsi="宋体" w:eastAsia="仿宋_GB2312"/>
                <w:szCs w:val="21"/>
              </w:rPr>
            </w:pPr>
            <w:r>
              <w:rPr>
                <w:rFonts w:hint="eastAsia" w:ascii="仿宋_GB2312" w:hAnsi="宋体" w:eastAsia="仿宋_GB2312"/>
                <w:szCs w:val="21"/>
              </w:rPr>
              <w:t>注1：扭扭车、健身摇摆车等儿童可用脚起稳定作用的童车，其“前后稳定性”项目不做测试。</w:t>
            </w:r>
            <w:r>
              <w:rPr>
                <w:rFonts w:ascii="仿宋_GB2312" w:hAnsi="宋体" w:eastAsia="仿宋_GB2312"/>
                <w:szCs w:val="21"/>
              </w:rPr>
              <w:t>机械与物理性能</w:t>
            </w:r>
            <w:r>
              <w:rPr>
                <w:rFonts w:hint="eastAsia" w:ascii="仿宋_GB2312" w:hAnsi="宋体" w:eastAsia="仿宋_GB2312"/>
                <w:szCs w:val="21"/>
              </w:rPr>
              <w:t>正常使用不合格项目原则上使用原样进行复检，但因可预见的合理滥用测试导致样品被破坏而使原样不能用于复检时，可用备样复检；可预见的合理滥用测试不合格，应使用备样进行复检。机械与物理性能应对所有适用项目进行测试，不适用的项目应在报告中予以说明。</w:t>
            </w:r>
          </w:p>
          <w:p>
            <w:pPr>
              <w:jc w:val="left"/>
              <w:rPr>
                <w:rFonts w:ascii="仿宋_GB2312" w:hAnsi="宋体" w:eastAsia="仿宋_GB2312"/>
                <w:szCs w:val="21"/>
              </w:rPr>
            </w:pPr>
            <w:r>
              <w:rPr>
                <w:rFonts w:hint="eastAsia" w:ascii="仿宋_GB2312" w:hAnsi="宋体" w:eastAsia="仿宋_GB2312"/>
                <w:szCs w:val="21"/>
              </w:rPr>
              <w:t>注2：特定元素的迁移项目原则上使用原样复检，但原样样品量不足时，可使用备样复检。</w:t>
            </w:r>
          </w:p>
          <w:p>
            <w:pPr>
              <w:pStyle w:val="6"/>
              <w:adjustRightInd w:val="0"/>
              <w:snapToGrid w:val="0"/>
              <w:spacing w:line="0" w:lineRule="atLeast"/>
              <w:jc w:val="left"/>
              <w:rPr>
                <w:rFonts w:ascii="仿宋_GB2312" w:hAnsi="仿宋" w:eastAsia="仿宋_GB2312" w:cs="宋体"/>
                <w:sz w:val="24"/>
              </w:rPr>
            </w:pPr>
            <w:r>
              <w:rPr>
                <w:rFonts w:hint="eastAsia" w:ascii="仿宋_GB2312" w:hAnsi="宋体" w:eastAsia="仿宋_GB2312"/>
                <w:szCs w:val="21"/>
              </w:rPr>
              <w:t>注3：增塑剂项目优先选取软胶、皮革或涂层等2个材料进行测试，取样量不足0.1g时不进行测试。增塑剂项目原则上使用原样复检，但原样样品量不足时，可使用备样复检。</w:t>
            </w:r>
          </w:p>
        </w:tc>
      </w:tr>
    </w:tbl>
    <w:p>
      <w:pPr>
        <w:snapToGrid w:val="0"/>
        <w:spacing w:line="540" w:lineRule="exact"/>
        <w:rPr>
          <w:rFonts w:ascii="仿宋_GB2312" w:hAnsi="宋体" w:eastAsia="仿宋_GB2312"/>
          <w:b/>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 xml:space="preserve"> 检验应注意的问题</w:t>
      </w:r>
    </w:p>
    <w:p>
      <w:pPr>
        <w:snapToGrid w:val="0"/>
        <w:spacing w:line="540" w:lineRule="exact"/>
        <w:rPr>
          <w:rFonts w:ascii="仿宋_GB2312" w:hAnsi="宋体" w:eastAsia="仿宋_GB2312"/>
          <w:iCs/>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.1</w:t>
      </w:r>
      <w:r>
        <w:rPr>
          <w:rFonts w:hint="eastAsia" w:ascii="仿宋_GB2312" w:hAnsi="Calibri"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6.2.2 </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6.2.3 </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540" w:lineRule="exact"/>
        <w:rPr>
          <w:rFonts w:ascii="仿宋_GB2312" w:hAnsi="Calibri" w:eastAsia="仿宋_GB2312" w:cs="Sim Sun"/>
          <w:b/>
          <w:kern w:val="0"/>
          <w:sz w:val="28"/>
          <w:szCs w:val="28"/>
        </w:rPr>
      </w:pPr>
      <w:r>
        <w:rPr>
          <w:rFonts w:hint="eastAsia" w:ascii="仿宋_GB2312" w:hAnsi="Calibri" w:eastAsia="仿宋_GB2312" w:cs="Sim Sun"/>
          <w:b/>
          <w:kern w:val="0"/>
          <w:sz w:val="28"/>
          <w:szCs w:val="28"/>
        </w:rPr>
        <w:t>7 判定原则</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540" w:lineRule="exact"/>
        <w:rPr>
          <w:rFonts w:ascii="仿宋_GB2312" w:hAnsi="Calibri" w:eastAsia="仿宋_GB2312" w:cs="Sim Sun"/>
          <w:b/>
          <w:kern w:val="0"/>
          <w:sz w:val="28"/>
          <w:szCs w:val="28"/>
        </w:rPr>
      </w:pPr>
      <w:r>
        <w:rPr>
          <w:rFonts w:hint="eastAsia" w:ascii="仿宋_GB2312" w:hAnsi="Calibri" w:eastAsia="仿宋_GB2312" w:cs="Sim Sun"/>
          <w:b/>
          <w:kern w:val="0"/>
          <w:sz w:val="28"/>
          <w:szCs w:val="28"/>
        </w:rPr>
        <w:t>8 异议处理复检</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8.1 </w:t>
      </w:r>
      <w:r>
        <w:rPr>
          <w:rFonts w:hint="eastAsia" w:ascii="仿宋_GB2312" w:eastAsia="仿宋_GB2312" w:cs="Sim Sun"/>
          <w:iCs/>
          <w:kern w:val="0"/>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8.2 </w:t>
      </w:r>
      <w:r>
        <w:rPr>
          <w:rFonts w:hint="eastAsia" w:ascii="仿宋_GB2312" w:eastAsia="仿宋_GB2312" w:cs="Sim Sun"/>
          <w:iCs/>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8.3 </w:t>
      </w:r>
      <w:r>
        <w:rPr>
          <w:rFonts w:hint="eastAsia"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eastAsia="仿宋_GB2312" w:cs="Sim Sun"/>
          <w:b/>
          <w:kern w:val="0"/>
          <w:sz w:val="28"/>
          <w:szCs w:val="28"/>
        </w:rPr>
      </w:pPr>
      <w:r>
        <w:rPr>
          <w:rFonts w:hint="eastAsia" w:ascii="仿宋_GB2312" w:eastAsia="仿宋_GB2312" w:cs="Sim Sun"/>
          <w:b/>
          <w:kern w:val="0"/>
          <w:sz w:val="28"/>
          <w:szCs w:val="28"/>
        </w:rPr>
        <w:t xml:space="preserve">8.4 </w:t>
      </w:r>
      <w:r>
        <w:rPr>
          <w:rFonts w:hint="eastAsia" w:ascii="仿宋_GB2312" w:eastAsia="仿宋_GB2312" w:cs="Sim Sun"/>
          <w:bCs/>
          <w:kern w:val="0"/>
          <w:sz w:val="28"/>
          <w:szCs w:val="28"/>
        </w:rPr>
        <w:t>若复检机构与初检机构为同一家机构，则复</w:t>
      </w:r>
      <w:r>
        <w:rPr>
          <w:rFonts w:hint="eastAsia" w:ascii="仿宋_GB2312" w:eastAsia="仿宋_GB2312" w:cs="Sim Sun"/>
          <w:kern w:val="0"/>
          <w:sz w:val="28"/>
          <w:szCs w:val="28"/>
        </w:rPr>
        <w:t>检</w:t>
      </w:r>
      <w:r>
        <w:rPr>
          <w:rFonts w:hint="eastAsia" w:ascii="仿宋_GB2312" w:eastAsia="仿宋_GB2312" w:cs="Sim Sun"/>
          <w:bCs/>
          <w:kern w:val="0"/>
          <w:sz w:val="28"/>
          <w:szCs w:val="28"/>
        </w:rPr>
        <w:t>检验人员与初检检验人员不得为同一人（含审核人员）。</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8.5 </w:t>
      </w:r>
      <w:r>
        <w:rPr>
          <w:rFonts w:hint="eastAsia" w:ascii="仿宋_GB2312" w:eastAsia="仿宋_GB2312" w:cs="Sim Sun"/>
          <w:kern w:val="0"/>
          <w:sz w:val="28"/>
          <w:szCs w:val="28"/>
        </w:rPr>
        <w:t>需对不合格项目复检时，按6.1选择复检样品。</w:t>
      </w:r>
    </w:p>
    <w:p>
      <w:pPr>
        <w:snapToGrid w:val="0"/>
        <w:spacing w:line="540" w:lineRule="exact"/>
        <w:rPr>
          <w:rFonts w:ascii="仿宋_GB2312" w:eastAsia="仿宋_GB2312" w:cs="Sim Sun"/>
          <w:kern w:val="0"/>
          <w:sz w:val="28"/>
          <w:szCs w:val="28"/>
        </w:rPr>
      </w:pPr>
      <w:r>
        <w:rPr>
          <w:rFonts w:hint="eastAsia" w:ascii="仿宋_GB2312" w:eastAsia="仿宋_GB2312" w:cs="Sim Sun"/>
          <w:b/>
          <w:iCs/>
          <w:kern w:val="0"/>
          <w:sz w:val="28"/>
          <w:szCs w:val="28"/>
        </w:rPr>
        <w:t xml:space="preserve">8.6 </w:t>
      </w:r>
      <w:r>
        <w:rPr>
          <w:rFonts w:ascii="仿宋_GB2312" w:eastAsia="仿宋_GB2312" w:cs="Sim Sun"/>
          <w:kern w:val="0"/>
          <w:sz w:val="28"/>
          <w:szCs w:val="28"/>
        </w:rPr>
        <w:t>采用备样复</w:t>
      </w:r>
      <w:r>
        <w:rPr>
          <w:rFonts w:hint="eastAsia" w:ascii="仿宋_GB2312" w:eastAsia="仿宋_GB2312" w:cs="Sim Sun"/>
          <w:kern w:val="0"/>
          <w:sz w:val="28"/>
          <w:szCs w:val="28"/>
        </w:rPr>
        <w:t>检</w:t>
      </w:r>
      <w:r>
        <w:rPr>
          <w:rFonts w:ascii="仿宋_GB2312" w:eastAsia="仿宋_GB2312" w:cs="Sim Sun"/>
          <w:kern w:val="0"/>
          <w:sz w:val="28"/>
          <w:szCs w:val="28"/>
        </w:rPr>
        <w:t>时，</w:t>
      </w:r>
      <w:r>
        <w:rPr>
          <w:rFonts w:hint="eastAsia" w:ascii="仿宋_GB2312" w:eastAsia="仿宋_GB2312" w:cs="Sim Sun"/>
          <w:kern w:val="0"/>
          <w:sz w:val="28"/>
          <w:szCs w:val="28"/>
        </w:rPr>
        <w:t>若备样与原样的结构、零部件等不一致时，检验结果以原检验结果为准。</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8.7 </w:t>
      </w:r>
      <w:r>
        <w:rPr>
          <w:rFonts w:hint="eastAsia" w:ascii="仿宋_GB2312" w:eastAsia="仿宋_GB2312" w:cs="Sim Sun"/>
          <w:iCs/>
          <w:kern w:val="0"/>
          <w:sz w:val="28"/>
          <w:szCs w:val="28"/>
        </w:rPr>
        <w:t>深圳市市场监督管理局根据初检、复</w:t>
      </w:r>
      <w:r>
        <w:rPr>
          <w:rFonts w:hint="eastAsia" w:ascii="仿宋_GB2312" w:eastAsia="仿宋_GB2312" w:cs="Sim Sun"/>
          <w:kern w:val="0"/>
          <w:sz w:val="28"/>
          <w:szCs w:val="28"/>
        </w:rPr>
        <w:t>检</w:t>
      </w:r>
      <w:r>
        <w:rPr>
          <w:rFonts w:hint="eastAsia" w:ascii="仿宋_GB2312" w:eastAsia="仿宋_GB2312" w:cs="Sim Sun"/>
          <w:iCs/>
          <w:kern w:val="0"/>
          <w:sz w:val="28"/>
          <w:szCs w:val="28"/>
        </w:rPr>
        <w:t>结果及企业提交的证明材料，做出复检结论，复检结论为最终结论。</w:t>
      </w:r>
    </w:p>
    <w:p>
      <w:pPr>
        <w:snapToGrid w:val="0"/>
        <w:spacing w:line="540" w:lineRule="exact"/>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ind w:firstLine="560" w:firstLineChars="200"/>
      </w:pPr>
      <w:bookmarkStart w:id="0" w:name="_GoBack"/>
      <w:bookmarkEnd w:id="0"/>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ZHTK--GBK1-0">
    <w:altName w:val="宋体"/>
    <w:panose1 w:val="00000000000000000000"/>
    <w:charset w:val="86"/>
    <w:family w:val="auto"/>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E-FZ">
    <w:altName w:val="宋体"/>
    <w:panose1 w:val="00000000000000000000"/>
    <w:charset w:val="86"/>
    <w:family w:val="auto"/>
    <w:pitch w:val="default"/>
    <w:sig w:usb0="00000000" w:usb1="00000000" w:usb2="00000010" w:usb3="00000000" w:csb0="00040000" w:csb1="00000000"/>
  </w:font>
  <w:font w:name="E-BZ">
    <w:altName w:val="宋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9F0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rPr>
  </w:style>
  <w:style w:type="paragraph" w:customStyle="1" w:styleId="6">
    <w:name w:val="二级无标题条"/>
    <w:basedOn w:val="1"/>
    <w:qFormat/>
    <w:uiPriority w:val="0"/>
  </w:style>
  <w:style w:type="paragraph" w:customStyle="1" w:styleId="7">
    <w:name w:val="公文"/>
    <w:basedOn w:val="1"/>
    <w:qFormat/>
    <w:uiPriority w:val="0"/>
    <w:pPr>
      <w:widowControl/>
      <w:adjustRightInd w:val="0"/>
      <w:snapToGrid w:val="0"/>
      <w:spacing w:beforeLines="25" w:afterLines="35"/>
      <w:ind w:firstLine="200" w:firstLineChars="200"/>
      <w:jc w:val="left"/>
    </w:pPr>
    <w:rPr>
      <w:rFonts w:ascii="仿宋_GB2312" w:eastAsia="仿宋_GB2312"/>
      <w:bCs/>
      <w:kern w:val="0"/>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2020-05-06T02:42:55Z</dcterms:created>
  <dc:creator>changmy</dc:creator>
  <cp:lastModifiedBy>常孟园</cp:lastModifiedBy>
  <dcterms:modified xsi:type="dcterms:W3CDTF">2020-05-06T02:43:03Z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