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ascii="黑体" w:hAnsi="宋体" w:eastAsia="黑体"/>
          <w:sz w:val="32"/>
          <w:szCs w:val="32"/>
        </w:rPr>
      </w:pPr>
      <w:r>
        <w:rPr>
          <w:rFonts w:hint="eastAsia" w:ascii="黑体" w:hAnsi="宋体" w:eastAsia="黑体"/>
          <w:sz w:val="32"/>
          <w:szCs w:val="32"/>
        </w:rPr>
        <w:t>附件2</w:t>
      </w:r>
    </w:p>
    <w:p>
      <w:pPr>
        <w:spacing w:before="156" w:beforeLines="50" w:line="360" w:lineRule="auto"/>
        <w:jc w:val="center"/>
        <w:rPr>
          <w:rFonts w:ascii="黑体" w:hAnsi="宋体" w:eastAsia="黑体"/>
          <w:sz w:val="36"/>
        </w:rPr>
      </w:pPr>
      <w:r>
        <w:rPr>
          <w:rFonts w:hint="eastAsia" w:ascii="黑体" w:hAnsi="宋体" w:eastAsia="黑体"/>
          <w:sz w:val="36"/>
        </w:rPr>
        <w:t>深圳市市场监督管理局</w:t>
      </w:r>
    </w:p>
    <w:p>
      <w:pPr>
        <w:spacing w:before="156" w:beforeLines="50" w:line="360" w:lineRule="auto"/>
        <w:jc w:val="center"/>
        <w:rPr>
          <w:rFonts w:ascii="黑体" w:hAnsi="宋体" w:eastAsia="黑体"/>
          <w:sz w:val="36"/>
        </w:rPr>
      </w:pPr>
      <w:r>
        <w:rPr>
          <w:rFonts w:hint="eastAsia" w:ascii="黑体" w:hAnsi="宋体" w:eastAsia="黑体"/>
          <w:sz w:val="36"/>
        </w:rPr>
        <w:t>服饰产品质量监督抽查实施规范</w:t>
      </w:r>
    </w:p>
    <w:p>
      <w:pPr>
        <w:spacing w:before="234" w:beforeLines="75" w:line="300" w:lineRule="exact"/>
        <w:jc w:val="center"/>
        <w:rPr>
          <w:rFonts w:ascii="黑体" w:hAnsi="黑体" w:eastAsia="黑体" w:cs="黑体"/>
          <w:sz w:val="28"/>
          <w:szCs w:val="28"/>
        </w:rPr>
      </w:pPr>
      <w:r>
        <w:rPr>
          <w:rFonts w:hint="eastAsia" w:ascii="黑体" w:hAnsi="黑体" w:eastAsia="黑体" w:cs="黑体"/>
          <w:sz w:val="28"/>
          <w:szCs w:val="28"/>
        </w:rPr>
        <w:t>编号：CCGF-SZ-143-2020</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本规范适用于深圳市生产及流通领域服饰产品质量监督抽查。</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outlineLvl w:val="0"/>
        <w:rPr>
          <w:rFonts w:ascii="仿宋_GB2312" w:hAnsi="宋体" w:eastAsia="仿宋_GB2312"/>
          <w:b/>
          <w:sz w:val="28"/>
          <w:szCs w:val="28"/>
        </w:rPr>
      </w:pPr>
      <w:r>
        <w:rPr>
          <w:rFonts w:hint="eastAsia" w:ascii="仿宋_GB2312" w:hAnsi="宋体" w:eastAsia="仿宋_GB2312"/>
          <w:b/>
          <w:sz w:val="28"/>
          <w:szCs w:val="28"/>
        </w:rPr>
        <w:t>2 产品种类</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360" w:lineRule="auto"/>
        <w:jc w:val="center"/>
        <w:rPr>
          <w:rFonts w:ascii="黑体" w:hAnsi="宋体" w:eastAsia="黑体"/>
          <w:sz w:val="28"/>
          <w:szCs w:val="28"/>
        </w:rPr>
      </w:pPr>
      <w:r>
        <w:rPr>
          <w:rFonts w:hint="eastAsia" w:ascii="黑体" w:hAnsi="宋体" w:eastAsia="黑体"/>
          <w:sz w:val="28"/>
          <w:szCs w:val="28"/>
        </w:rPr>
        <w:t>表1  产品种类</w:t>
      </w:r>
    </w:p>
    <w:tbl>
      <w:tblPr>
        <w:tblStyle w:val="3"/>
        <w:tblW w:w="7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23" w:type="dxa"/>
            <w:noWrap w:val="0"/>
            <w:vAlign w:val="center"/>
          </w:tcPr>
          <w:p>
            <w:pPr>
              <w:tabs>
                <w:tab w:val="left" w:pos="4680"/>
              </w:tabs>
              <w:spacing w:line="320" w:lineRule="exact"/>
              <w:ind w:firstLine="120" w:firstLineChars="50"/>
              <w:jc w:val="center"/>
              <w:rPr>
                <w:rFonts w:ascii="黑体" w:hAnsi="黑体" w:eastAsia="黑体" w:cs="黑体"/>
                <w:bCs/>
                <w:sz w:val="24"/>
              </w:rPr>
            </w:pPr>
            <w:r>
              <w:rPr>
                <w:rFonts w:hint="eastAsia" w:ascii="黑体" w:hAnsi="黑体" w:eastAsia="黑体" w:cs="黑体"/>
                <w:bCs/>
                <w:sz w:val="24"/>
              </w:rPr>
              <w:t>产品种类</w:t>
            </w:r>
          </w:p>
        </w:tc>
        <w:tc>
          <w:tcPr>
            <w:tcW w:w="6240" w:type="dxa"/>
            <w:noWrap w:val="0"/>
            <w:vAlign w:val="center"/>
          </w:tcPr>
          <w:p>
            <w:pPr>
              <w:tabs>
                <w:tab w:val="left" w:pos="4680"/>
              </w:tabs>
              <w:spacing w:line="320" w:lineRule="exact"/>
              <w:ind w:firstLine="120" w:firstLineChars="50"/>
              <w:jc w:val="center"/>
              <w:rPr>
                <w:rFonts w:ascii="黑体" w:hAnsi="黑体" w:eastAsia="黑体" w:cs="黑体"/>
                <w:bCs/>
                <w:sz w:val="24"/>
              </w:rPr>
            </w:pPr>
            <w:r>
              <w:rPr>
                <w:rFonts w:hint="eastAsia" w:ascii="黑体" w:hAnsi="黑体" w:eastAsia="黑体" w:cs="黑体"/>
                <w:bCs/>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523" w:type="dxa"/>
            <w:noWrap w:val="0"/>
            <w:vAlign w:val="center"/>
          </w:tcPr>
          <w:p>
            <w:pPr>
              <w:tabs>
                <w:tab w:val="left" w:pos="4680"/>
              </w:tabs>
              <w:spacing w:line="320" w:lineRule="exact"/>
              <w:jc w:val="center"/>
              <w:rPr>
                <w:rFonts w:ascii="仿宋_GB2312" w:hAnsi="宋体" w:eastAsia="仿宋_GB2312"/>
                <w:sz w:val="22"/>
              </w:rPr>
            </w:pPr>
            <w:r>
              <w:rPr>
                <w:rFonts w:hint="eastAsia" w:ascii="仿宋_GB2312" w:hAnsi="宋体" w:eastAsia="仿宋_GB2312"/>
                <w:sz w:val="22"/>
              </w:rPr>
              <w:t>服饰</w:t>
            </w:r>
          </w:p>
        </w:tc>
        <w:tc>
          <w:tcPr>
            <w:tcW w:w="6240" w:type="dxa"/>
            <w:noWrap w:val="0"/>
            <w:vAlign w:val="center"/>
          </w:tcPr>
          <w:p>
            <w:pPr>
              <w:tabs>
                <w:tab w:val="left" w:pos="4680"/>
              </w:tabs>
              <w:spacing w:line="320" w:lineRule="exact"/>
              <w:jc w:val="left"/>
              <w:rPr>
                <w:rFonts w:ascii="仿宋_GB2312" w:eastAsia="仿宋_GB2312"/>
                <w:sz w:val="22"/>
              </w:rPr>
            </w:pPr>
            <w:r>
              <w:rPr>
                <w:rFonts w:hint="eastAsia" w:ascii="仿宋_GB2312" w:hAnsi="宋体" w:eastAsia="仿宋_GB2312"/>
                <w:sz w:val="22"/>
              </w:rPr>
              <w:t>围巾、披肩、袜子、手套、领带、手帕、帽子、针织口罩、围兜、肚围、配饰品（纺织类）等服饰产品。</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本实施规范中未列出的术语和定义同相关引用标准。</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检验依据见表2。</w:t>
      </w:r>
    </w:p>
    <w:p>
      <w:pPr>
        <w:snapToGrid w:val="0"/>
        <w:spacing w:line="360" w:lineRule="auto"/>
        <w:jc w:val="center"/>
        <w:rPr>
          <w:rFonts w:ascii="黑体" w:hAnsi="宋体" w:eastAsia="黑体"/>
          <w:sz w:val="28"/>
          <w:szCs w:val="28"/>
        </w:rPr>
      </w:pPr>
      <w:r>
        <w:rPr>
          <w:rFonts w:hint="eastAsia" w:ascii="黑体" w:hAnsi="宋体" w:eastAsia="黑体"/>
          <w:sz w:val="28"/>
          <w:szCs w:val="28"/>
        </w:rPr>
        <w:t>表2  检验依据</w:t>
      </w:r>
    </w:p>
    <w:tbl>
      <w:tblPr>
        <w:tblStyle w:val="3"/>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noWrap w:val="0"/>
            <w:vAlign w:val="center"/>
          </w:tcPr>
          <w:p>
            <w:pPr>
              <w:snapToGrid w:val="0"/>
              <w:spacing w:line="360" w:lineRule="auto"/>
              <w:jc w:val="center"/>
              <w:rPr>
                <w:rFonts w:ascii="黑体" w:hAnsi="宋体" w:eastAsia="黑体"/>
                <w:sz w:val="24"/>
              </w:rPr>
            </w:pPr>
            <w:r>
              <w:rPr>
                <w:rFonts w:hint="eastAsia" w:ascii="黑体" w:hAnsi="宋体" w:eastAsia="黑体"/>
                <w:sz w:val="24"/>
              </w:rPr>
              <w:t>标准号</w:t>
            </w:r>
          </w:p>
        </w:tc>
        <w:tc>
          <w:tcPr>
            <w:tcW w:w="4200" w:type="dxa"/>
            <w:noWrap w:val="0"/>
            <w:vAlign w:val="center"/>
          </w:tcPr>
          <w:p>
            <w:pPr>
              <w:snapToGrid w:val="0"/>
              <w:spacing w:line="360" w:lineRule="auto"/>
              <w:jc w:val="center"/>
              <w:rPr>
                <w:rFonts w:ascii="黑体" w:hAnsi="宋体" w:eastAsia="黑体"/>
                <w:sz w:val="24"/>
              </w:rPr>
            </w:pPr>
            <w:r>
              <w:rPr>
                <w:rFonts w:hint="eastAsia" w:ascii="黑体" w:hAnsi="宋体" w:eastAsia="黑体"/>
                <w:sz w:val="24"/>
              </w:rPr>
              <w:t>标准名称</w:t>
            </w:r>
          </w:p>
        </w:tc>
        <w:tc>
          <w:tcPr>
            <w:tcW w:w="2794" w:type="dxa"/>
            <w:noWrap w:val="0"/>
            <w:vAlign w:val="center"/>
          </w:tcPr>
          <w:p>
            <w:pPr>
              <w:snapToGrid w:val="0"/>
              <w:spacing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18401</w:t>
            </w:r>
          </w:p>
        </w:tc>
        <w:tc>
          <w:tcPr>
            <w:tcW w:w="420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国家纺织产品基本安全技术规范</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31701</w:t>
            </w:r>
          </w:p>
        </w:tc>
        <w:tc>
          <w:tcPr>
            <w:tcW w:w="4200" w:type="dxa"/>
            <w:noWrap w:val="0"/>
            <w:vAlign w:val="center"/>
          </w:tcPr>
          <w:p>
            <w:pPr>
              <w:snapToGrid w:val="0"/>
              <w:spacing w:before="50" w:line="360" w:lineRule="auto"/>
              <w:jc w:val="center"/>
              <w:rPr>
                <w:rFonts w:ascii="仿宋_GB2312" w:hAnsi="宋体" w:eastAsia="仿宋_GB2312"/>
                <w:sz w:val="24"/>
              </w:rPr>
            </w:pPr>
            <w:r>
              <w:rPr>
                <w:rFonts w:hint="eastAsia" w:ascii="仿宋_GB2312" w:hAnsi="宋体" w:eastAsia="仿宋_GB2312"/>
                <w:sz w:val="24"/>
              </w:rPr>
              <w:t>婴幼儿及儿童纺织产品安全技术规范</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20400</w:t>
            </w:r>
          </w:p>
        </w:tc>
        <w:tc>
          <w:tcPr>
            <w:tcW w:w="4200" w:type="dxa"/>
            <w:noWrap w:val="0"/>
            <w:vAlign w:val="center"/>
          </w:tcPr>
          <w:p>
            <w:pPr>
              <w:snapToGrid w:val="0"/>
              <w:spacing w:before="50" w:line="360" w:lineRule="auto"/>
              <w:jc w:val="center"/>
              <w:rPr>
                <w:rFonts w:ascii="仿宋_GB2312" w:hAnsi="宋体" w:eastAsia="仿宋_GB2312"/>
                <w:sz w:val="24"/>
              </w:rPr>
            </w:pPr>
            <w:r>
              <w:rPr>
                <w:rFonts w:hint="eastAsia" w:ascii="仿宋_GB2312" w:hAnsi="宋体" w:eastAsia="仿宋_GB2312"/>
                <w:sz w:val="24"/>
              </w:rPr>
              <w:t>皮革和毛皮有害物质限量</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29862</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纺织品 纤维含量的标识</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相关产品的强制性标准、行业标准、政府法规及产品的明示标准（包括企业标准）和明示担保内容。</w:t>
      </w:r>
    </w:p>
    <w:p>
      <w:pPr>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抽取样品的数量不得超过检验、复检的合理需要，具体数量见表3。</w:t>
      </w:r>
    </w:p>
    <w:p>
      <w:pPr>
        <w:snapToGrid w:val="0"/>
        <w:spacing w:line="540" w:lineRule="exact"/>
        <w:jc w:val="center"/>
        <w:rPr>
          <w:rFonts w:ascii="黑体" w:hAnsi="黑体" w:eastAsia="黑体" w:cs="黑体"/>
          <w:bCs/>
          <w:sz w:val="28"/>
          <w:szCs w:val="28"/>
        </w:rPr>
      </w:pPr>
      <w:r>
        <w:rPr>
          <w:rFonts w:hint="eastAsia" w:ascii="黑体" w:hAnsi="黑体" w:eastAsia="黑体" w:cs="黑体"/>
          <w:bCs/>
          <w:sz w:val="28"/>
          <w:szCs w:val="28"/>
        </w:rPr>
        <w:t>表3  每批次样品数量要求</w:t>
      </w:r>
    </w:p>
    <w:tbl>
      <w:tblPr>
        <w:tblStyle w:val="3"/>
        <w:tblW w:w="808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694"/>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34"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类别</w:t>
            </w:r>
          </w:p>
        </w:tc>
        <w:tc>
          <w:tcPr>
            <w:tcW w:w="2694"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品种</w:t>
            </w:r>
          </w:p>
        </w:tc>
        <w:tc>
          <w:tcPr>
            <w:tcW w:w="2126"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检验样品数量</w:t>
            </w:r>
          </w:p>
        </w:tc>
        <w:tc>
          <w:tcPr>
            <w:tcW w:w="2126"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134"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服饰</w:t>
            </w: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围巾、披肩</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4件（条）</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34"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帽子</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6顶</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134"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手套</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8双</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袜子</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10双</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针织口罩</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8只</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手帕、领带</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8条</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配饰品（纺织类）等其他服饰产品</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6件（条）</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2件（条）</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宋体"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jc w:val="center"/>
        <w:rPr>
          <w:rFonts w:ascii="仿宋_GB2312" w:hAnsi="宋体" w:eastAsia="仿宋_GB2312"/>
          <w:b/>
          <w:sz w:val="28"/>
          <w:szCs w:val="28"/>
        </w:rPr>
      </w:pPr>
      <w:r>
        <w:rPr>
          <w:rFonts w:hint="eastAsia" w:ascii="仿宋_GB2312" w:hAnsi="宋体" w:eastAsia="仿宋_GB2312"/>
          <w:b/>
          <w:sz w:val="28"/>
          <w:szCs w:val="28"/>
        </w:rPr>
        <w:t>表4  检验项目、依据及方法等要求</w:t>
      </w:r>
    </w:p>
    <w:tbl>
      <w:tblPr>
        <w:tblStyle w:val="3"/>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136"/>
        <w:gridCol w:w="2022"/>
        <w:gridCol w:w="1694"/>
        <w:gridCol w:w="155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5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序号</w:t>
            </w:r>
          </w:p>
        </w:tc>
        <w:tc>
          <w:tcPr>
            <w:tcW w:w="213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022"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1694"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项目性质</w:t>
            </w:r>
          </w:p>
        </w:tc>
        <w:tc>
          <w:tcPr>
            <w:tcW w:w="1556"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1684"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6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68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restart"/>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continue"/>
            <w:noWrap w:val="0"/>
            <w:vAlign w:val="center"/>
          </w:tcPr>
          <w:p>
            <w:pPr>
              <w:pStyle w:val="2"/>
              <w:snapToGrid w:val="0"/>
              <w:spacing w:before="78" w:beforeLines="25" w:after="78" w:afterLines="25"/>
              <w:jc w:val="center"/>
              <w:rPr>
                <w:rFonts w:ascii="仿宋_GB2312" w:hAnsi="宋体" w:eastAsia="仿宋_GB2312"/>
                <w:sz w:val="24"/>
                <w:szCs w:val="24"/>
              </w:rPr>
            </w:pP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pH值</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耐唾液色牢度</w:t>
            </w:r>
            <w:r>
              <w:rPr>
                <w:rFonts w:hint="eastAsia" w:ascii="仿宋_GB2312" w:hAnsi="宋体" w:eastAsia="仿宋_GB2312"/>
                <w:sz w:val="24"/>
                <w:szCs w:val="24"/>
                <w:vertAlign w:val="superscript"/>
              </w:rPr>
              <w:t>1</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18886</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重金属（铅、镉）</w:t>
            </w:r>
            <w:r>
              <w:rPr>
                <w:rFonts w:hint="eastAsia" w:ascii="仿宋_GB2312" w:hAnsi="宋体" w:eastAsia="仿宋_GB2312"/>
                <w:sz w:val="24"/>
                <w:szCs w:val="24"/>
                <w:vertAlign w:val="superscript"/>
              </w:rPr>
              <w:t>2</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3</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4</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5</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附件锐利性</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其他要求（锐利物）</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31701 4.5.1 4.5.2</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6</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横向延伸值</w:t>
            </w:r>
            <w:r>
              <w:rPr>
                <w:rFonts w:hint="eastAsia" w:ascii="仿宋_GB2312" w:hAnsi="宋体" w:eastAsia="仿宋_GB2312"/>
                <w:sz w:val="24"/>
                <w:szCs w:val="24"/>
                <w:vertAlign w:val="superscript"/>
              </w:rPr>
              <w:t>7</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rPr>
                <w:rFonts w:ascii="仿宋_GB2312" w:hAnsi="宋体" w:eastAsia="仿宋_GB2312"/>
                <w:sz w:val="24"/>
                <w:szCs w:val="24"/>
              </w:rPr>
            </w:pPr>
            <w:r>
              <w:rPr>
                <w:rFonts w:hint="eastAsia" w:ascii="仿宋_GB2312" w:hAnsi="宋体" w:eastAsia="仿宋_GB2312"/>
                <w:sz w:val="24"/>
                <w:szCs w:val="24"/>
              </w:rPr>
              <w:t>20</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直向延伸值</w:t>
            </w:r>
            <w:r>
              <w:rPr>
                <w:rFonts w:hint="eastAsia" w:ascii="仿宋_GB2312" w:hAnsi="宋体" w:eastAsia="仿宋_GB2312"/>
                <w:sz w:val="24"/>
                <w:szCs w:val="24"/>
                <w:vertAlign w:val="superscript"/>
              </w:rPr>
              <w:t>7</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断裂强力</w:t>
            </w:r>
            <w:r>
              <w:rPr>
                <w:rFonts w:hint="eastAsia" w:ascii="仿宋_GB2312" w:hAnsi="宋体" w:eastAsia="仿宋_GB2312"/>
                <w:sz w:val="24"/>
                <w:szCs w:val="24"/>
                <w:vertAlign w:val="superscript"/>
              </w:rPr>
              <w:t>8</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耐热压色牢度</w:t>
            </w:r>
            <w:r>
              <w:rPr>
                <w:rFonts w:hint="eastAsia" w:ascii="仿宋_GB2312" w:hAnsi="宋体" w:eastAsia="仿宋_GB2312"/>
                <w:sz w:val="24"/>
                <w:szCs w:val="24"/>
                <w:vertAlign w:val="superscript"/>
              </w:rPr>
              <w:t>9</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6152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13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透气率</w:t>
            </w:r>
            <w:r>
              <w:rPr>
                <w:rFonts w:hint="eastAsia" w:ascii="仿宋_GB2312" w:hAnsi="宋体" w:eastAsia="仿宋_GB2312"/>
                <w:sz w:val="24"/>
                <w:szCs w:val="24"/>
                <w:vertAlign w:val="superscript"/>
              </w:rPr>
              <w:t>10</w:t>
            </w:r>
          </w:p>
        </w:tc>
        <w:tc>
          <w:tcPr>
            <w:tcW w:w="202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5453</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8" w:type="dxa"/>
            <w:gridSpan w:val="6"/>
            <w:noWrap w:val="0"/>
            <w:vAlign w:val="center"/>
          </w:tcPr>
          <w:p>
            <w:pPr>
              <w:pStyle w:val="2"/>
              <w:snapToGrid w:val="0"/>
              <w:spacing w:before="78" w:beforeLines="25" w:after="78" w:afterLines="25" w:line="340" w:lineRule="exact"/>
              <w:jc w:val="left"/>
              <w:rPr>
                <w:rFonts w:ascii="仿宋_GB2312" w:hAnsi="宋体" w:eastAsia="仿宋_GB2312"/>
                <w:sz w:val="24"/>
                <w:szCs w:val="24"/>
              </w:rPr>
            </w:pPr>
            <w:r>
              <w:rPr>
                <w:rFonts w:hint="eastAsia" w:ascii="仿宋_GB2312" w:hAnsi="宋体" w:eastAsia="仿宋_GB2312"/>
                <w:sz w:val="24"/>
                <w:szCs w:val="24"/>
              </w:rPr>
              <w:t>注：</w:t>
            </w:r>
          </w:p>
          <w:p>
            <w:pPr>
              <w:pStyle w:val="5"/>
              <w:widowControl/>
              <w:spacing w:line="340" w:lineRule="exact"/>
              <w:jc w:val="left"/>
              <w:rPr>
                <w:rFonts w:hAnsi="宋体" w:eastAsia="仿宋_GB2312" w:cs="宋体"/>
                <w:bCs/>
                <w:color w:val="auto"/>
                <w:kern w:val="2"/>
                <w:sz w:val="24"/>
              </w:rPr>
            </w:pPr>
            <w:r>
              <w:rPr>
                <w:rFonts w:hint="eastAsia" w:hAnsi="宋体" w:eastAsia="仿宋_GB2312" w:cs="宋体"/>
                <w:bCs/>
                <w:color w:val="auto"/>
                <w:kern w:val="2"/>
                <w:sz w:val="24"/>
              </w:rPr>
              <w:t>1.</w:t>
            </w:r>
            <w:r>
              <w:rPr>
                <w:rFonts w:hint="eastAsia" w:hAnsi="宋体" w:eastAsia="仿宋_GB2312" w:cs="宋体"/>
                <w:bCs/>
                <w:color w:val="auto"/>
                <w:sz w:val="24"/>
              </w:rPr>
              <w:t>耐唾液色牢度仅考核婴幼儿纺织产品</w:t>
            </w:r>
            <w:r>
              <w:rPr>
                <w:rFonts w:hint="eastAsia" w:hAnsi="宋体" w:eastAsia="仿宋_GB2312" w:cs="宋体"/>
                <w:bCs/>
                <w:color w:val="auto"/>
                <w:kern w:val="2"/>
                <w:sz w:val="24"/>
              </w:rPr>
              <w:t>。</w:t>
            </w:r>
          </w:p>
          <w:p>
            <w:pPr>
              <w:pStyle w:val="5"/>
              <w:widowControl/>
              <w:spacing w:line="340" w:lineRule="exact"/>
              <w:ind w:left="720" w:hanging="720" w:hangingChars="300"/>
              <w:jc w:val="left"/>
              <w:rPr>
                <w:rFonts w:hAnsi="宋体" w:eastAsia="仿宋_GB2312" w:cs="宋体"/>
                <w:bCs/>
                <w:color w:val="auto"/>
                <w:kern w:val="2"/>
                <w:sz w:val="24"/>
              </w:rPr>
            </w:pPr>
            <w:r>
              <w:rPr>
                <w:rFonts w:hint="eastAsia" w:hAnsi="宋体" w:eastAsia="仿宋_GB2312" w:cs="宋体"/>
                <w:bCs/>
                <w:color w:val="auto"/>
                <w:kern w:val="2"/>
                <w:sz w:val="24"/>
              </w:rPr>
              <w:t>2.重金属仅考核含有涂层和涂料印染的织物，指标为铅、镉总量占涂层或涂料质量的比值。</w:t>
            </w:r>
          </w:p>
          <w:p>
            <w:pPr>
              <w:pStyle w:val="5"/>
              <w:widowControl/>
              <w:spacing w:line="340" w:lineRule="exact"/>
              <w:jc w:val="left"/>
              <w:rPr>
                <w:rFonts w:hAnsi="宋体" w:eastAsia="仿宋_GB2312" w:cs="宋体"/>
                <w:bCs/>
                <w:color w:val="auto"/>
                <w:kern w:val="2"/>
                <w:sz w:val="24"/>
              </w:rPr>
            </w:pPr>
            <w:r>
              <w:rPr>
                <w:rFonts w:hint="eastAsia" w:hAnsi="宋体" w:eastAsia="仿宋_GB2312" w:cs="宋体"/>
                <w:bCs/>
                <w:color w:val="auto"/>
                <w:kern w:val="2"/>
                <w:sz w:val="24"/>
              </w:rPr>
              <w:t>3.邻苯二甲酸酯仅考核含有涂层和涂料印染的织物。</w:t>
            </w:r>
          </w:p>
          <w:p>
            <w:pPr>
              <w:pStyle w:val="5"/>
              <w:widowControl/>
              <w:spacing w:line="340" w:lineRule="exact"/>
              <w:jc w:val="left"/>
              <w:rPr>
                <w:rFonts w:hAnsi="宋体" w:eastAsia="仿宋_GB2312" w:cs="宋体"/>
                <w:bCs/>
                <w:color w:val="auto"/>
                <w:sz w:val="24"/>
              </w:rPr>
            </w:pPr>
            <w:r>
              <w:rPr>
                <w:rFonts w:hint="eastAsia" w:hAnsi="宋体" w:eastAsia="仿宋_GB2312" w:cs="宋体"/>
                <w:bCs/>
                <w:color w:val="auto"/>
                <w:sz w:val="24"/>
              </w:rPr>
              <w:t>4.燃烧性能仅考核产品的外层面料；羊毛、腈纶、改性腈纶、锦纶、丙纶和聚酯纤维的纯纺织物，以及由这些纤维混纺的织物不考核；单位面积质量大于90g/m2的织物不考核。</w:t>
            </w:r>
          </w:p>
          <w:p>
            <w:pPr>
              <w:pStyle w:val="5"/>
              <w:widowControl/>
              <w:spacing w:line="340" w:lineRule="exact"/>
              <w:jc w:val="left"/>
              <w:rPr>
                <w:rFonts w:hAnsi="宋体" w:eastAsia="仿宋_GB2312" w:cs="宋体"/>
                <w:bCs/>
                <w:color w:val="auto"/>
                <w:sz w:val="24"/>
              </w:rPr>
            </w:pPr>
            <w:r>
              <w:rPr>
                <w:rFonts w:hint="eastAsia" w:hAnsi="宋体" w:eastAsia="仿宋_GB2312" w:cs="宋体"/>
                <w:bCs/>
                <w:color w:val="auto"/>
                <w:kern w:val="2"/>
                <w:sz w:val="24"/>
              </w:rPr>
              <w:t>5.</w:t>
            </w:r>
            <w:r>
              <w:rPr>
                <w:rFonts w:hint="eastAsia" w:hAnsi="宋体" w:eastAsia="仿宋_GB2312" w:cs="宋体"/>
                <w:bCs/>
                <w:color w:val="auto"/>
                <w:sz w:val="24"/>
              </w:rPr>
              <w:t>附件抗拉强力仅考核婴幼儿纺织产品。</w:t>
            </w:r>
          </w:p>
          <w:p>
            <w:pPr>
              <w:pStyle w:val="5"/>
              <w:widowControl/>
              <w:spacing w:line="340" w:lineRule="exact"/>
              <w:jc w:val="left"/>
              <w:rPr>
                <w:rFonts w:hAnsi="宋体" w:eastAsia="仿宋_GB2312" w:cs="宋体"/>
                <w:bCs/>
                <w:color w:val="auto"/>
                <w:sz w:val="24"/>
              </w:rPr>
            </w:pPr>
            <w:r>
              <w:rPr>
                <w:rFonts w:hint="eastAsia" w:hAnsi="宋体" w:eastAsia="仿宋_GB2312" w:cs="宋体"/>
                <w:bCs/>
                <w:color w:val="auto"/>
                <w:sz w:val="24"/>
              </w:rPr>
              <w:t>6.纤维含量仅考核产品明示标注有纤维含量信息的产品。</w:t>
            </w:r>
          </w:p>
          <w:p>
            <w:pPr>
              <w:pStyle w:val="2"/>
              <w:snapToGrid w:val="0"/>
              <w:spacing w:before="78" w:beforeLines="25" w:after="78"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7.横向延伸值和直向延伸值仅考核袜子产品。</w:t>
            </w:r>
          </w:p>
          <w:p>
            <w:pPr>
              <w:pStyle w:val="2"/>
              <w:snapToGrid w:val="0"/>
              <w:spacing w:before="78" w:beforeLines="25" w:after="78"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8.断裂强力仅考核机织手帕产品。</w:t>
            </w:r>
          </w:p>
          <w:p>
            <w:pPr>
              <w:pStyle w:val="2"/>
              <w:snapToGrid w:val="0"/>
              <w:spacing w:before="78" w:beforeLines="25" w:after="78"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9.耐热压色牢度仅考核领带产品。</w:t>
            </w:r>
          </w:p>
          <w:p>
            <w:pPr>
              <w:pStyle w:val="2"/>
              <w:snapToGrid w:val="0"/>
              <w:spacing w:before="78" w:beforeLines="25" w:after="78"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10.透气率仅考核针织口罩产品。</w:t>
            </w:r>
          </w:p>
          <w:p>
            <w:pPr>
              <w:pStyle w:val="2"/>
              <w:snapToGrid w:val="0"/>
              <w:spacing w:before="78" w:beforeLines="25" w:after="78" w:afterLines="25" w:line="340" w:lineRule="exact"/>
              <w:rPr>
                <w:rFonts w:ascii="仿宋_GB2312" w:hAnsi="宋体" w:eastAsia="仿宋_GB2312"/>
                <w:sz w:val="24"/>
                <w:szCs w:val="24"/>
              </w:rPr>
            </w:pPr>
            <w:r>
              <w:rPr>
                <w:rFonts w:hint="eastAsia" w:ascii="仿宋_GB2312" w:hAnsi="宋体" w:eastAsia="仿宋_GB2312" w:cs="宋体"/>
                <w:bCs/>
                <w:kern w:val="0"/>
                <w:sz w:val="24"/>
                <w:szCs w:val="24"/>
              </w:rPr>
              <w:t>11.序号1-23项目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6.2.1 </w:t>
      </w: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样品有局部印花，若取样数量不能满足所有试验要求，应先取重金属和邻苯二甲酸酯试样，然后依次取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、甲醛、色牢度、pH值试样。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0.1mol/L</w:t>
      </w:r>
      <w:r>
        <w:rPr>
          <w:rFonts w:hint="eastAsia" w:ascii="仿宋_GB2312" w:eastAsia="仿宋_GB2312" w:cs="Sim Sun"/>
          <w:kern w:val="0"/>
          <w:sz w:val="28"/>
          <w:szCs w:val="28"/>
        </w:rPr>
        <w:t>氯化钾溶液作为萃取介质，产品标准另有规定的按相应要求执行。</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 xml:space="preserve">6.2.6 </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 xml:space="preserve">6.2.7 </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6.2.8 </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pacing w:line="540" w:lineRule="exact"/>
        <w:rPr>
          <w:rFonts w:ascii="仿宋_GB2312" w:eastAsia="仿宋_GB2312"/>
          <w:sz w:val="28"/>
          <w:szCs w:val="28"/>
        </w:rPr>
      </w:pPr>
      <w:r>
        <w:rPr>
          <w:rFonts w:hint="eastAsia" w:ascii="仿宋_GB2312" w:eastAsia="仿宋_GB2312"/>
          <w:b/>
          <w:sz w:val="28"/>
          <w:szCs w:val="28"/>
        </w:rPr>
        <w:t>6.2.9</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若被检产品明示的质量要求低于或包含本规范中检验项目依据的推荐性标准要求时，应以被检产品明示的质量要求判定。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hAnsi="宋体" w:eastAsia="仿宋_GB2312"/>
          <w:b/>
          <w:iCs/>
          <w:sz w:val="28"/>
          <w:szCs w:val="28"/>
        </w:rPr>
      </w:pPr>
      <w:r>
        <w:rPr>
          <w:rFonts w:hint="eastAsia" w:ascii="仿宋_GB2312" w:eastAsia="仿宋_GB2312" w:cs="Sim Sun"/>
          <w:b/>
          <w:kern w:val="0"/>
          <w:sz w:val="28"/>
          <w:szCs w:val="28"/>
        </w:rPr>
        <w:t xml:space="preserve">8.4 </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9</w:t>
      </w:r>
      <w:r>
        <w:rPr>
          <w:rFonts w:hint="eastAsia" w:ascii="仿宋_GB2312" w:hAnsi="宋体" w:eastAsia="仿宋_GB2312"/>
          <w:b/>
          <w:sz w:val="28"/>
          <w:szCs w:val="28"/>
        </w:rPr>
        <w:tab/>
      </w:r>
      <w:r>
        <w:rPr>
          <w:rFonts w:hint="eastAsia" w:ascii="仿宋_GB2312" w:hAnsi="宋体" w:eastAsia="仿宋_GB2312"/>
          <w:b/>
          <w:sz w:val="28"/>
          <w:szCs w:val="28"/>
        </w:rPr>
        <w:t>附则</w:t>
      </w:r>
    </w:p>
    <w:p>
      <w:pPr>
        <w:snapToGrid w:val="0"/>
        <w:spacing w:line="540" w:lineRule="exact"/>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snapToGrid w:val="0"/>
        <w:spacing w:line="540" w:lineRule="exact"/>
        <w:ind w:firstLine="560" w:firstLineChars="200"/>
        <w:rPr>
          <w:rFonts w:ascii="仿宋_GB2312" w:hAnsi="宋体" w:eastAsia="仿宋_GB2312"/>
          <w:iCs/>
          <w:sz w:val="28"/>
          <w:szCs w:val="28"/>
        </w:rPr>
      </w:pPr>
      <w:bookmarkStart w:id="0" w:name="_GoBack"/>
      <w:bookmarkEnd w:id="0"/>
      <w:r>
        <w:rPr>
          <w:rFonts w:hint="eastAsia" w:ascii="仿宋_GB2312" w:hAnsi="宋体" w:eastAsia="仿宋_GB2312"/>
          <w:iCs/>
          <w:sz w:val="28"/>
          <w:szCs w:val="28"/>
        </w:rPr>
        <w:t>本规范由深圳市市场监督管理局质量处管理。</w:t>
      </w:r>
    </w:p>
    <w:p>
      <w:pPr>
        <w:snapToGrid w:val="0"/>
        <w:spacing w:line="360" w:lineRule="auto"/>
        <w:rPr>
          <w:rFonts w:ascii="仿宋_GB2312" w:eastAsia="仿宋_GB2312" w:cs="Sim Sun"/>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1E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customStyle="1" w:styleId="5">
    <w:name w:val="表格"/>
    <w:basedOn w:val="1"/>
    <w:qFormat/>
    <w:uiPriority w:val="0"/>
    <w:pPr>
      <w:adjustRightInd w:val="0"/>
      <w:snapToGrid w:val="0"/>
      <w:jc w:val="center"/>
    </w:pPr>
    <w:rPr>
      <w:rFonts w:ascii="仿宋_GB2312"/>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2020-05-06T02:48:04Z</dcterms:created>
  <dc:creator>changmy</dc:creator>
  <cp:lastModifiedBy>常孟园</cp:lastModifiedBy>
  <dcterms:modified xsi:type="dcterms:W3CDTF">2020-05-06T02:48:21Z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