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line="360" w:lineRule="auto"/>
        <w:jc w:val="center"/>
        <w:rPr>
          <w:rFonts w:ascii="黑体" w:hAnsi="黑体" w:eastAsia="黑体"/>
          <w:bCs/>
          <w:sz w:val="36"/>
          <w:szCs w:val="36"/>
        </w:rPr>
      </w:pPr>
      <w:r>
        <w:rPr>
          <w:rFonts w:ascii="黑体" w:hAnsi="黑体" w:eastAsia="黑体"/>
          <w:bCs/>
          <w:sz w:val="36"/>
          <w:szCs w:val="36"/>
        </w:rPr>
        <w:t>深圳市市场监督管理局</w:t>
      </w:r>
    </w:p>
    <w:p>
      <w:pPr>
        <w:spacing w:line="360" w:lineRule="auto"/>
        <w:jc w:val="center"/>
        <w:rPr>
          <w:rFonts w:ascii="黑体" w:hAnsi="黑体" w:eastAsia="黑体"/>
          <w:bCs/>
          <w:sz w:val="36"/>
          <w:szCs w:val="36"/>
        </w:rPr>
      </w:pPr>
      <w:r>
        <w:rPr>
          <w:rFonts w:hint="eastAsia" w:ascii="黑体" w:hAnsi="黑体" w:eastAsia="黑体"/>
          <w:bCs/>
          <w:sz w:val="36"/>
          <w:szCs w:val="36"/>
        </w:rPr>
        <w:t>工业涂装行业涂料产品</w:t>
      </w:r>
      <w:r>
        <w:rPr>
          <w:rFonts w:ascii="黑体" w:hAnsi="黑体" w:eastAsia="黑体"/>
          <w:bCs/>
          <w:sz w:val="36"/>
          <w:szCs w:val="36"/>
        </w:rPr>
        <w:t>质量</w:t>
      </w:r>
      <w:r>
        <w:rPr>
          <w:rFonts w:hint="eastAsia" w:ascii="黑体" w:hAnsi="黑体" w:eastAsia="黑体"/>
          <w:bCs/>
          <w:sz w:val="36"/>
          <w:szCs w:val="36"/>
        </w:rPr>
        <w:t>监督</w:t>
      </w:r>
      <w:r>
        <w:rPr>
          <w:rFonts w:ascii="黑体" w:hAnsi="黑体" w:eastAsia="黑体"/>
          <w:bCs/>
          <w:sz w:val="36"/>
          <w:szCs w:val="36"/>
        </w:rPr>
        <w:t>抽查实施规范</w:t>
      </w:r>
    </w:p>
    <w:p>
      <w:pPr>
        <w:spacing w:line="360" w:lineRule="auto"/>
        <w:jc w:val="center"/>
        <w:rPr>
          <w:rFonts w:ascii="黑体" w:hAnsi="黑体" w:eastAsia="黑体"/>
          <w:bCs/>
          <w:sz w:val="28"/>
        </w:rPr>
      </w:pPr>
      <w:r>
        <w:rPr>
          <w:rFonts w:hint="eastAsia" w:ascii="黑体" w:hAnsi="黑体" w:eastAsia="黑体"/>
          <w:sz w:val="28"/>
        </w:rPr>
        <w:t>编号</w:t>
      </w:r>
      <w:r>
        <w:rPr>
          <w:rFonts w:ascii="黑体" w:hAnsi="黑体" w:eastAsia="黑体"/>
          <w:sz w:val="28"/>
        </w:rPr>
        <w:t>：</w:t>
      </w:r>
      <w:r>
        <w:rPr>
          <w:rFonts w:ascii="黑体" w:hAnsi="黑体" w:eastAsia="黑体"/>
          <w:bCs/>
          <w:sz w:val="28"/>
        </w:rPr>
        <w:t>CCGF-SZ-</w:t>
      </w:r>
      <w:r>
        <w:rPr>
          <w:rFonts w:hint="eastAsia" w:ascii="黑体" w:hAnsi="黑体" w:eastAsia="黑体"/>
          <w:bCs/>
          <w:sz w:val="28"/>
        </w:rPr>
        <w:t>134</w:t>
      </w:r>
      <w:r>
        <w:rPr>
          <w:rFonts w:ascii="黑体" w:hAnsi="黑体" w:eastAsia="黑体"/>
          <w:bCs/>
          <w:sz w:val="28"/>
        </w:rPr>
        <w:t>-20</w:t>
      </w:r>
      <w:r>
        <w:rPr>
          <w:rFonts w:hint="eastAsia" w:ascii="黑体" w:hAnsi="黑体" w:eastAsia="黑体"/>
          <w:bCs/>
          <w:sz w:val="28"/>
        </w:rPr>
        <w:t>20</w:t>
      </w:r>
    </w:p>
    <w:p>
      <w:pPr>
        <w:spacing w:line="360" w:lineRule="auto"/>
        <w:jc w:val="center"/>
        <w:rPr>
          <w:rFonts w:ascii="黑体" w:hAnsi="黑体" w:eastAsia="黑体"/>
          <w:sz w:val="28"/>
        </w:rPr>
      </w:pP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1 适用范围</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规范适用于深圳经济特区内销售的，以及在道路及交通标志施工、集装箱制造、小客车整车制造、大中型车整车制造、汽车内饰件制造、船舶修理、自行车制造、木家具及木制品制造、玩具制造、电子电气产品制造及其他工业涂装行业使用的涂料产品。</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本规范内容包括适用范围、产品种类、术语和定义、检验依据、抽样、检验要求，判定原则及异议处理复检。</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2 产品种类</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产品种类包括：本规范适用于深圳经济特区内销售的，以及在道路及交通标志施工、集装箱制造、小客车整车制造、大中型车整车制造、汽车内饰件制造、船舶修理、自行车制造、木家具及木制品制造、玩具制造、电子电气产品制造及其他工业涂装行业使用的涂料产品。</w:t>
      </w:r>
    </w:p>
    <w:p>
      <w:pPr>
        <w:snapToGrid w:val="0"/>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3 术语和定义</w:t>
      </w:r>
    </w:p>
    <w:p>
      <w:pPr>
        <w:snapToGrid w:val="0"/>
        <w:spacing w:before="156"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术语和定义见表1。</w:t>
      </w:r>
    </w:p>
    <w:p>
      <w:pPr>
        <w:snapToGrid w:val="0"/>
        <w:spacing w:before="156" w:beforeLines="50" w:line="360" w:lineRule="auto"/>
        <w:jc w:val="center"/>
        <w:rPr>
          <w:rFonts w:ascii="黑体" w:hAnsi="宋体" w:eastAsia="黑体"/>
          <w:sz w:val="28"/>
          <w:szCs w:val="28"/>
        </w:rPr>
      </w:pPr>
      <w:r>
        <w:rPr>
          <w:rFonts w:hint="eastAsia" w:ascii="黑体" w:hAnsi="宋体" w:eastAsia="黑体"/>
          <w:sz w:val="28"/>
          <w:szCs w:val="28"/>
        </w:rPr>
        <w:t>表1术语和定义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7"/>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98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5423"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87" w:type="dxa"/>
            <w:noWrap w:val="0"/>
            <w:vAlign w:val="center"/>
          </w:tcPr>
          <w:p>
            <w:pPr>
              <w:autoSpaceDE w:val="0"/>
              <w:autoSpaceDN w:val="0"/>
              <w:adjustRightInd w:val="0"/>
              <w:spacing w:line="300" w:lineRule="exact"/>
              <w:jc w:val="center"/>
              <w:rPr>
                <w:rFonts w:ascii="仿宋_GB2312" w:hAnsi="仿宋" w:eastAsia="仿宋_GB2312"/>
                <w:sz w:val="24"/>
              </w:rPr>
            </w:pPr>
            <w:r>
              <w:rPr>
                <w:rFonts w:hint="eastAsia" w:ascii="仿宋_GB2312" w:hAnsi="仿宋" w:eastAsia="仿宋_GB2312"/>
                <w:sz w:val="24"/>
              </w:rPr>
              <w:t>工业涂装行业使用的涂料</w:t>
            </w:r>
          </w:p>
        </w:tc>
        <w:tc>
          <w:tcPr>
            <w:tcW w:w="5423" w:type="dxa"/>
            <w:noWrap w:val="0"/>
            <w:vAlign w:val="center"/>
          </w:tcPr>
          <w:p>
            <w:pPr>
              <w:snapToGrid w:val="0"/>
              <w:spacing w:line="300" w:lineRule="exact"/>
              <w:rPr>
                <w:rFonts w:ascii="仿宋_GB2312" w:hAnsi="仿宋" w:eastAsia="仿宋_GB2312"/>
                <w:sz w:val="24"/>
              </w:rPr>
            </w:pPr>
            <w:r>
              <w:rPr>
                <w:rFonts w:hint="eastAsia" w:ascii="仿宋_GB2312" w:hAnsi="仿宋" w:eastAsia="仿宋_GB2312"/>
                <w:sz w:val="24"/>
              </w:rPr>
              <w:t>用于工业涂装行业的涂料</w:t>
            </w:r>
          </w:p>
        </w:tc>
      </w:tr>
    </w:tbl>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4 检验依据</w:t>
      </w:r>
    </w:p>
    <w:p>
      <w:pPr>
        <w:snapToGrid w:val="0"/>
        <w:spacing w:before="156" w:beforeLines="50" w:line="360" w:lineRule="auto"/>
        <w:rPr>
          <w:rFonts w:ascii="仿宋_GB2312" w:hAnsi="宋体" w:eastAsia="仿宋_GB2312"/>
          <w:sz w:val="32"/>
          <w:szCs w:val="32"/>
        </w:rPr>
      </w:pPr>
      <w:r>
        <w:rPr>
          <w:rFonts w:hint="eastAsia" w:ascii="仿宋_GB2312" w:hAnsi="宋体" w:eastAsia="仿宋_GB2312"/>
          <w:sz w:val="32"/>
          <w:szCs w:val="32"/>
        </w:rPr>
        <w:t>检验依据见表2。</w:t>
      </w:r>
    </w:p>
    <w:p>
      <w:pPr>
        <w:snapToGrid w:val="0"/>
        <w:spacing w:before="156" w:beforeLines="50" w:line="360" w:lineRule="auto"/>
        <w:jc w:val="center"/>
        <w:rPr>
          <w:rFonts w:ascii="黑体" w:hAnsi="宋体" w:eastAsia="黑体"/>
          <w:sz w:val="28"/>
          <w:szCs w:val="28"/>
        </w:rPr>
      </w:pPr>
      <w:r>
        <w:rPr>
          <w:rFonts w:hint="eastAsia" w:ascii="黑体" w:hAnsi="宋体" w:eastAsia="黑体"/>
          <w:sz w:val="28"/>
          <w:szCs w:val="28"/>
        </w:rPr>
        <w:t>表2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516"/>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标准号</w:t>
            </w:r>
          </w:p>
        </w:tc>
        <w:tc>
          <w:tcPr>
            <w:tcW w:w="4516"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标准名称</w:t>
            </w:r>
          </w:p>
        </w:tc>
        <w:tc>
          <w:tcPr>
            <w:tcW w:w="2380"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autoSpaceDE w:val="0"/>
              <w:autoSpaceDN w:val="0"/>
              <w:adjustRightInd w:val="0"/>
              <w:spacing w:line="360" w:lineRule="auto"/>
              <w:jc w:val="center"/>
              <w:rPr>
                <w:rFonts w:ascii="仿宋_GB2312" w:hAnsi="仿宋" w:eastAsia="仿宋_GB2312"/>
                <w:sz w:val="24"/>
              </w:rPr>
            </w:pPr>
            <w:r>
              <w:rPr>
                <w:rFonts w:hint="eastAsia" w:ascii="仿宋_GB2312" w:hAnsi="仿宋" w:eastAsia="仿宋_GB2312" w:cs="宋体"/>
                <w:kern w:val="0"/>
                <w:sz w:val="24"/>
              </w:rPr>
              <w:t>SZJG 54-2017</w:t>
            </w:r>
          </w:p>
        </w:tc>
        <w:tc>
          <w:tcPr>
            <w:tcW w:w="4516" w:type="dxa"/>
            <w:noWrap w:val="0"/>
            <w:vAlign w:val="center"/>
          </w:tcPr>
          <w:p>
            <w:pPr>
              <w:autoSpaceDE w:val="0"/>
              <w:autoSpaceDN w:val="0"/>
              <w:adjustRightInd w:val="0"/>
              <w:spacing w:line="360" w:lineRule="auto"/>
              <w:jc w:val="center"/>
              <w:rPr>
                <w:rFonts w:ascii="仿宋_GB2312" w:hAnsi="仿宋" w:eastAsia="仿宋_GB2312"/>
                <w:sz w:val="24"/>
              </w:rPr>
            </w:pPr>
            <w:r>
              <w:rPr>
                <w:rFonts w:hint="eastAsia" w:ascii="仿宋_GB2312" w:hAnsi="仿宋" w:eastAsia="仿宋_GB2312"/>
                <w:sz w:val="24"/>
              </w:rPr>
              <w:t>《低挥发性有机物含量涂料技术规范》</w:t>
            </w:r>
          </w:p>
        </w:tc>
        <w:tc>
          <w:tcPr>
            <w:tcW w:w="2380" w:type="dxa"/>
            <w:noWrap w:val="0"/>
            <w:vAlign w:val="center"/>
          </w:tcPr>
          <w:p>
            <w:pPr>
              <w:autoSpaceDE w:val="0"/>
              <w:autoSpaceDN w:val="0"/>
              <w:adjustRightInd w:val="0"/>
              <w:spacing w:line="360" w:lineRule="auto"/>
              <w:jc w:val="center"/>
              <w:rPr>
                <w:rFonts w:ascii="仿宋_GB2312" w:hAnsi="仿宋" w:eastAsia="仿宋_GB2312" w:cs="宋体"/>
                <w:kern w:val="0"/>
                <w:sz w:val="24"/>
              </w:rPr>
            </w:pPr>
            <w:r>
              <w:rPr>
                <w:rFonts w:hint="eastAsia" w:ascii="仿宋_GB2312" w:hAnsi="仿宋" w:eastAsia="仿宋_GB2312" w:cs="宋体"/>
                <w:kern w:val="0"/>
                <w:sz w:val="24"/>
              </w:rPr>
              <w:t xml:space="preserve">□CMA </w:t>
            </w:r>
            <w:r>
              <w:rPr>
                <w:rFonts w:hint="eastAsia" w:ascii="仿宋_GB2312" w:hAnsi="仿宋" w:eastAsia="仿宋_GB2312" w:cs="宋体"/>
                <w:kern w:val="0"/>
                <w:sz w:val="24"/>
              </w:rPr>
              <w:sym w:font="Wingdings 2" w:char="F052"/>
            </w:r>
            <w:r>
              <w:rPr>
                <w:rFonts w:hint="eastAsia" w:ascii="仿宋_GB2312" w:hAnsi="仿宋" w:eastAsia="仿宋_GB2312" w:cs="宋体"/>
                <w:kern w:val="0"/>
                <w:sz w:val="24"/>
              </w:rPr>
              <w:t xml:space="preserve">CAL </w:t>
            </w:r>
            <w:r>
              <w:rPr>
                <w:rFonts w:hint="eastAsia" w:ascii="仿宋_GB2312" w:hAnsi="仿宋" w:eastAsia="仿宋_GB2312" w:cs="宋体"/>
                <w:kern w:val="0"/>
                <w:sz w:val="24"/>
              </w:rPr>
              <w:sym w:font="Wingdings 2" w:char="F052"/>
            </w:r>
            <w:r>
              <w:rPr>
                <w:rFonts w:hint="eastAsia" w:ascii="仿宋_GB2312" w:hAnsi="仿宋" w:eastAsia="仿宋_GB2312" w:cs="宋体"/>
                <w:kern w:val="0"/>
                <w:sz w:val="24"/>
              </w:rPr>
              <w:t>CNAS</w:t>
            </w:r>
          </w:p>
        </w:tc>
      </w:tr>
    </w:tbl>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相关的产品强制性标准、行业标准、政府法规及产品的明示标准和明示担保内容。</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 抽样</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5.1 抽样型号或规格</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抽取样品须为同一型号规格，同一批次的产品。</w:t>
      </w:r>
    </w:p>
    <w:p>
      <w:pPr>
        <w:adjustRightInd w:val="0"/>
        <w:snapToGrid w:val="0"/>
        <w:spacing w:line="360" w:lineRule="auto"/>
        <w:rPr>
          <w:rFonts w:ascii="仿宋_GB2312" w:hAnsi="宋体" w:eastAsia="仿宋_GB2312"/>
          <w:sz w:val="32"/>
          <w:szCs w:val="32"/>
        </w:rPr>
      </w:pPr>
      <w:r>
        <w:rPr>
          <w:rFonts w:hint="eastAsia" w:ascii="仿宋_GB2312" w:hAnsi="仿宋" w:eastAsia="仿宋_GB2312"/>
          <w:b/>
          <w:sz w:val="32"/>
          <w:szCs w:val="32"/>
        </w:rPr>
        <w:t xml:space="preserve">5.2 </w:t>
      </w:r>
      <w:r>
        <w:rPr>
          <w:rFonts w:hint="eastAsia" w:ascii="仿宋_GB2312" w:hAnsi="宋体" w:eastAsia="仿宋_GB2312"/>
          <w:b/>
          <w:sz w:val="32"/>
          <w:szCs w:val="32"/>
        </w:rPr>
        <w:t>取样方式</w:t>
      </w:r>
    </w:p>
    <w:p>
      <w:pPr>
        <w:snapToGrid w:val="0"/>
        <w:spacing w:line="360" w:lineRule="auto"/>
        <w:rPr>
          <w:rFonts w:ascii="仿宋_GB2312" w:hAnsi="宋体" w:eastAsia="仿宋_GB2312"/>
          <w:sz w:val="32"/>
          <w:szCs w:val="32"/>
        </w:rPr>
      </w:pPr>
      <w:r>
        <w:rPr>
          <w:rFonts w:hint="eastAsia" w:ascii="仿宋_GB2312" w:hAnsi="宋体" w:eastAsia="仿宋_GB2312"/>
          <w:b/>
          <w:bCs/>
          <w:sz w:val="32"/>
          <w:szCs w:val="32"/>
        </w:rPr>
        <w:t>流通领域：</w:t>
      </w:r>
      <w:r>
        <w:rPr>
          <w:rFonts w:hint="eastAsia" w:ascii="仿宋_GB2312" w:hAnsi="宋体" w:eastAsia="仿宋_GB2312"/>
          <w:sz w:val="32"/>
          <w:szCs w:val="32"/>
        </w:rPr>
        <w:t>本次抽样采取在流通领域实体店获得样品。</w:t>
      </w:r>
    </w:p>
    <w:p>
      <w:pPr>
        <w:snapToGrid w:val="0"/>
        <w:spacing w:line="360" w:lineRule="auto"/>
        <w:rPr>
          <w:rFonts w:ascii="仿宋_GB2312" w:hAnsi="宋体" w:eastAsia="仿宋_GB2312"/>
          <w:sz w:val="32"/>
          <w:szCs w:val="32"/>
        </w:rPr>
      </w:pPr>
      <w:r>
        <w:rPr>
          <w:rFonts w:hint="eastAsia" w:ascii="仿宋_GB2312" w:hAnsi="宋体" w:eastAsia="仿宋_GB2312"/>
          <w:sz w:val="32"/>
          <w:szCs w:val="32"/>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32"/>
          <w:szCs w:val="32"/>
        </w:rPr>
        <w:t>向被抽样企业提交</w:t>
      </w:r>
      <w:r>
        <w:rPr>
          <w:rFonts w:hint="eastAsia" w:ascii="仿宋_GB2312" w:hAnsi="宋体" w:eastAsia="仿宋_GB2312"/>
          <w:sz w:val="32"/>
          <w:szCs w:val="32"/>
        </w:rPr>
        <w:t>《无偿提供样品通知书》及</w:t>
      </w:r>
      <w:r>
        <w:rPr>
          <w:rFonts w:ascii="仿宋_GB2312" w:hAnsi="宋体" w:eastAsia="仿宋_GB2312"/>
          <w:sz w:val="32"/>
          <w:szCs w:val="32"/>
        </w:rPr>
        <w:t>《退样通知书》，被抽样企业可凭《退样通知书》并按相关规定退回无偿提供的样品。</w:t>
      </w:r>
    </w:p>
    <w:p>
      <w:pPr>
        <w:snapToGrid w:val="0"/>
        <w:spacing w:line="360" w:lineRule="auto"/>
        <w:rPr>
          <w:rFonts w:ascii="仿宋_GB2312" w:hAnsi="宋体" w:eastAsia="仿宋_GB2312"/>
          <w:sz w:val="32"/>
          <w:szCs w:val="32"/>
        </w:rPr>
      </w:pPr>
      <w:r>
        <w:rPr>
          <w:rFonts w:hint="eastAsia" w:ascii="仿宋_GB2312" w:hAnsi="宋体" w:eastAsia="仿宋_GB2312"/>
          <w:sz w:val="32"/>
          <w:szCs w:val="32"/>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adjustRightInd w:val="0"/>
        <w:snapToGrid w:val="0"/>
        <w:spacing w:line="360" w:lineRule="auto"/>
        <w:rPr>
          <w:rFonts w:ascii="仿宋_GB2312" w:hAnsi="宋体" w:eastAsia="仿宋_GB2312"/>
          <w:sz w:val="32"/>
          <w:szCs w:val="32"/>
        </w:rPr>
      </w:pPr>
      <w:r>
        <w:rPr>
          <w:rFonts w:hint="eastAsia" w:ascii="仿宋_GB2312" w:hAnsi="宋体" w:eastAsia="仿宋_GB2312"/>
          <w:sz w:val="32"/>
          <w:szCs w:val="32"/>
        </w:rPr>
        <w:t xml:space="preserve">    尽量抽取独立包装，如需分装，分装时需注意将原包装样品搅拌均匀，并配齐其出产标识，同时将样品盖密实。抽取多组分样品时，一定要抽取配套组分（如固化剂、稀释剂、水泥）。抽样时需注意抽取的2套样品必须是同厂家、同型号的同一批产品。</w:t>
      </w:r>
      <w:r>
        <w:rPr>
          <w:rFonts w:hint="eastAsia" w:ascii="仿宋_GB2312" w:hAnsi="宋体" w:eastAsia="仿宋_GB2312"/>
          <w:sz w:val="32"/>
          <w:szCs w:val="32"/>
        </w:rPr>
        <w:br w:type="textWrapping"/>
      </w:r>
      <w:r>
        <w:rPr>
          <w:rFonts w:hint="eastAsia" w:ascii="仿宋_GB2312" w:hAnsi="宋体" w:eastAsia="仿宋_GB2312"/>
          <w:b/>
          <w:sz w:val="32"/>
          <w:szCs w:val="32"/>
        </w:rPr>
        <w:t>5.3 抽样基数</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在流通领域抽样时，抽样基数应不少于抽取样品量。</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5.4 抽样数量</w:t>
      </w:r>
    </w:p>
    <w:p>
      <w:pPr>
        <w:widowControl/>
        <w:adjustRightInd w:val="0"/>
        <w:snapToGrid w:val="0"/>
        <w:spacing w:line="600" w:lineRule="exact"/>
        <w:ind w:firstLine="640" w:firstLineChars="200"/>
        <w:rPr>
          <w:rFonts w:ascii="仿宋_GB2312" w:hAnsi="宋体" w:eastAsia="仿宋_GB2312"/>
          <w:bCs/>
          <w:sz w:val="32"/>
          <w:szCs w:val="28"/>
        </w:rPr>
      </w:pPr>
      <w:r>
        <w:rPr>
          <w:rFonts w:hint="eastAsia" w:ascii="仿宋_GB2312" w:hAnsi="宋体" w:eastAsia="仿宋_GB2312"/>
          <w:bCs/>
          <w:sz w:val="32"/>
          <w:szCs w:val="32"/>
        </w:rPr>
        <w:t>流通领域（实体店）：</w:t>
      </w:r>
      <w:r>
        <w:rPr>
          <w:rFonts w:hint="eastAsia" w:ascii="仿宋_GB2312" w:hAnsi="宋体" w:eastAsia="仿宋_GB2312"/>
          <w:bCs/>
          <w:sz w:val="32"/>
          <w:szCs w:val="28"/>
        </w:rPr>
        <w:t>随机抽取或现场分装同一规格型号、同一批次的2组样品，1组作为检验样品，1组作为备用样品。抽取总量不得少于800mL，其中，检样不得少于400mL，备样不得少于400mL；</w:t>
      </w:r>
    </w:p>
    <w:p>
      <w:pPr>
        <w:widowControl/>
        <w:adjustRightInd w:val="0"/>
        <w:snapToGrid w:val="0"/>
        <w:spacing w:line="600" w:lineRule="exact"/>
        <w:ind w:firstLine="640" w:firstLineChars="200"/>
        <w:rPr>
          <w:rFonts w:ascii="仿宋_GB2312" w:hAnsi="宋体" w:eastAsia="仿宋_GB2312"/>
          <w:bCs/>
          <w:sz w:val="32"/>
          <w:szCs w:val="28"/>
        </w:rPr>
      </w:pPr>
      <w:r>
        <w:rPr>
          <w:rFonts w:hint="eastAsia" w:ascii="仿宋_GB2312" w:hAnsi="宋体" w:eastAsia="仿宋_GB2312"/>
          <w:bCs/>
          <w:sz w:val="32"/>
          <w:szCs w:val="32"/>
        </w:rPr>
        <w:t>流通领域（网络交易平台）：</w:t>
      </w:r>
      <w:r>
        <w:rPr>
          <w:rFonts w:hint="eastAsia" w:ascii="仿宋_GB2312" w:hAnsi="宋体" w:eastAsia="仿宋_GB2312"/>
          <w:bCs/>
          <w:sz w:val="32"/>
          <w:szCs w:val="28"/>
        </w:rPr>
        <w:t>随机抽取或现场分装同一规格型号、同一批次的2组样品，1组作为检验样品，1组作为备用样品。抽取总量不得少于800mL，其中，检样不得少于400mL，备样不得少于400mL。</w:t>
      </w:r>
    </w:p>
    <w:p>
      <w:pPr>
        <w:snapToGrid w:val="0"/>
        <w:spacing w:line="360" w:lineRule="auto"/>
        <w:ind w:firstLine="640" w:firstLineChars="200"/>
        <w:rPr>
          <w:rFonts w:ascii="仿宋_GB2312" w:hAnsi="宋体" w:eastAsia="仿宋_GB2312"/>
          <w:bCs/>
          <w:sz w:val="32"/>
          <w:szCs w:val="28"/>
        </w:rPr>
      </w:pPr>
      <w:r>
        <w:rPr>
          <w:rFonts w:hint="eastAsia" w:ascii="仿宋_GB2312" w:hAnsi="宋体" w:eastAsia="仿宋_GB2312"/>
          <w:sz w:val="32"/>
          <w:szCs w:val="28"/>
        </w:rPr>
        <w:t>在流通领域抽样时，</w:t>
      </w:r>
      <w:r>
        <w:rPr>
          <w:rFonts w:hint="eastAsia" w:ascii="仿宋_GB2312" w:hAnsi="宋体" w:eastAsia="仿宋_GB2312"/>
          <w:bCs/>
          <w:sz w:val="32"/>
          <w:szCs w:val="28"/>
        </w:rPr>
        <w:t>检验样品带回承检单位，备用样品封存于承检单位。</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5.5 样品处置</w:t>
      </w:r>
    </w:p>
    <w:p>
      <w:pPr>
        <w:spacing w:line="360" w:lineRule="auto"/>
        <w:rPr>
          <w:rFonts w:ascii="仿宋_GB2312" w:hAnsi="宋体" w:eastAsia="仿宋_GB2312"/>
          <w:sz w:val="32"/>
          <w:szCs w:val="32"/>
        </w:rPr>
      </w:pPr>
      <w:r>
        <w:rPr>
          <w:rFonts w:hint="eastAsia" w:ascii="仿宋_GB2312" w:hAnsi="ˎ̥" w:eastAsia="仿宋_GB2312"/>
          <w:b/>
          <w:sz w:val="32"/>
          <w:szCs w:val="32"/>
        </w:rPr>
        <w:t>5.5.1</w:t>
      </w:r>
      <w:r>
        <w:rPr>
          <w:rFonts w:hint="eastAsia" w:ascii="仿宋_GB2312" w:hAnsi="宋体" w:eastAsia="仿宋_GB2312"/>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sz w:val="32"/>
          <w:szCs w:val="32"/>
        </w:rPr>
      </w:pPr>
      <w:r>
        <w:rPr>
          <w:rFonts w:hint="eastAsia" w:ascii="仿宋_GB2312" w:hAnsi="宋体" w:eastAsia="仿宋_GB2312"/>
          <w:b/>
          <w:sz w:val="32"/>
          <w:szCs w:val="32"/>
        </w:rPr>
        <w:t>5.5.2</w:t>
      </w:r>
      <w:r>
        <w:rPr>
          <w:rFonts w:hint="eastAsia" w:ascii="仿宋_GB2312" w:hAnsi="Calibri" w:eastAsia="仿宋_GB2312"/>
          <w:sz w:val="32"/>
          <w:szCs w:val="32"/>
        </w:rPr>
        <w:t>样品由抽样人负责送至指定的检验机构相关部门，如有必要，也可由抽样人员要求受检单位在规定时间内送到指定的检验机构相关部门。</w:t>
      </w:r>
    </w:p>
    <w:p>
      <w:pPr>
        <w:spacing w:line="360" w:lineRule="auto"/>
        <w:rPr>
          <w:rFonts w:ascii="仿宋_GB2312" w:hAnsi="Calibri" w:eastAsia="仿宋_GB2312"/>
          <w:sz w:val="32"/>
          <w:szCs w:val="32"/>
        </w:rPr>
      </w:pPr>
      <w:r>
        <w:rPr>
          <w:rFonts w:hint="eastAsia" w:ascii="仿宋_GB2312" w:hAnsi="宋体" w:eastAsia="仿宋_GB2312"/>
          <w:b/>
          <w:sz w:val="32"/>
          <w:szCs w:val="32"/>
        </w:rPr>
        <w:t>5.5.3</w:t>
      </w:r>
      <w:r>
        <w:rPr>
          <w:rFonts w:hint="eastAsia" w:ascii="仿宋_GB2312" w:hAnsi="宋体" w:eastAsia="仿宋_GB2312"/>
          <w:sz w:val="32"/>
          <w:szCs w:val="32"/>
        </w:rPr>
        <w:t>抽取的样品按运输条件包装好，运输时严防雨淋、日晒、受潮。装卸时轻搬轻放，严禁掷抛。</w:t>
      </w:r>
      <w:r>
        <w:rPr>
          <w:rFonts w:hint="eastAsia" w:ascii="仿宋_GB2312" w:hAnsi="宋体" w:eastAsia="仿宋_GB2312" w:cs="仿宋_GB2312"/>
          <w:sz w:val="32"/>
          <w:szCs w:val="32"/>
        </w:rPr>
        <w:t>贮存时注意防晒、防雨淋、防潮。</w:t>
      </w:r>
    </w:p>
    <w:p>
      <w:pPr>
        <w:autoSpaceDE w:val="0"/>
        <w:autoSpaceDN w:val="0"/>
        <w:adjustRightInd w:val="0"/>
        <w:spacing w:line="360" w:lineRule="auto"/>
        <w:rPr>
          <w:rFonts w:ascii="仿宋_GB2312" w:hAnsi="宋体" w:eastAsia="仿宋_GB2312"/>
          <w:b/>
          <w:sz w:val="32"/>
          <w:szCs w:val="32"/>
        </w:rPr>
      </w:pPr>
      <w:r>
        <w:rPr>
          <w:rFonts w:hint="eastAsia" w:ascii="仿宋_GB2312" w:hAnsi="宋体" w:eastAsia="仿宋_GB2312"/>
          <w:b/>
          <w:sz w:val="32"/>
          <w:szCs w:val="32"/>
        </w:rPr>
        <w:t>5.6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sz w:val="32"/>
          <w:szCs w:val="32"/>
        </w:rPr>
        <w:t>应按有关规定填写抽样单，并记录被抽查产品、企业相关信息及样品配比。</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 检验要求</w:t>
      </w:r>
    </w:p>
    <w:p>
      <w:pPr>
        <w:snapToGrid w:val="0"/>
        <w:spacing w:line="360" w:lineRule="auto"/>
        <w:rPr>
          <w:rFonts w:ascii="仿宋_GB2312" w:hAnsi="Calibri" w:eastAsia="仿宋_GB2312" w:cs="Sim Sun"/>
          <w:b/>
          <w:kern w:val="0"/>
          <w:sz w:val="32"/>
          <w:szCs w:val="32"/>
        </w:rPr>
      </w:pPr>
      <w:r>
        <w:rPr>
          <w:rFonts w:hint="eastAsia" w:ascii="仿宋_GB2312" w:hAnsi="宋体" w:eastAsia="仿宋_GB2312"/>
          <w:b/>
          <w:sz w:val="32"/>
          <w:szCs w:val="32"/>
        </w:rPr>
        <w:t>6.1 检验项目</w:t>
      </w:r>
    </w:p>
    <w:tbl>
      <w:tblPr>
        <w:tblStyle w:val="4"/>
        <w:tblW w:w="897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4"/>
        <w:gridCol w:w="1071"/>
        <w:gridCol w:w="1129"/>
        <w:gridCol w:w="845"/>
        <w:gridCol w:w="1549"/>
        <w:gridCol w:w="309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94"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071"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129"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845"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549"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3097" w:type="dxa"/>
            <w:tcBorders>
              <w:bottom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涉及产品</w:t>
            </w:r>
          </w:p>
        </w:tc>
        <w:tc>
          <w:tcPr>
            <w:tcW w:w="687" w:type="dxa"/>
            <w:tcBorders>
              <w:bottom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94" w:type="dxa"/>
            <w:vMerge w:val="restart"/>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w:t>
            </w:r>
          </w:p>
        </w:tc>
        <w:tc>
          <w:tcPr>
            <w:tcW w:w="1071" w:type="dxa"/>
            <w:vMerge w:val="restart"/>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挥发性有机物(VOCs)含量</w:t>
            </w:r>
          </w:p>
        </w:tc>
        <w:tc>
          <w:tcPr>
            <w:tcW w:w="1129" w:type="dxa"/>
            <w:vMerge w:val="restart"/>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SZJG 54-2017 5.3</w:t>
            </w:r>
          </w:p>
        </w:tc>
        <w:tc>
          <w:tcPr>
            <w:tcW w:w="845" w:type="dxa"/>
            <w:vMerge w:val="restart"/>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强制性</w:t>
            </w:r>
          </w:p>
        </w:tc>
        <w:tc>
          <w:tcPr>
            <w:tcW w:w="154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 23985-2009</w:t>
            </w:r>
          </w:p>
        </w:tc>
        <w:tc>
          <w:tcPr>
            <w:tcW w:w="3097" w:type="dxa"/>
            <w:noWrap w:val="0"/>
            <w:vAlign w:val="center"/>
          </w:tcPr>
          <w:p>
            <w:pPr>
              <w:autoSpaceDE w:val="0"/>
              <w:autoSpaceDN w:val="0"/>
              <w:adjustRightInd w:val="0"/>
              <w:rPr>
                <w:rFonts w:ascii="仿宋_GB2312" w:hAnsi="仿宋" w:eastAsia="仿宋_GB2312"/>
                <w:sz w:val="24"/>
              </w:rPr>
            </w:pPr>
            <w:r>
              <w:rPr>
                <w:rFonts w:hint="eastAsia" w:ascii="仿宋_GB2312" w:hAnsi="仿宋" w:eastAsia="仿宋_GB2312"/>
                <w:sz w:val="24"/>
              </w:rPr>
              <w:t>涂料中挥发性有机物预期含量大于15%（质量分数）的工业涂装涂料</w:t>
            </w:r>
          </w:p>
        </w:tc>
        <w:tc>
          <w:tcPr>
            <w:tcW w:w="687" w:type="dxa"/>
            <w:vMerge w:val="restart"/>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94" w:type="dxa"/>
            <w:vMerge w:val="continue"/>
            <w:noWrap w:val="0"/>
            <w:vAlign w:val="center"/>
          </w:tcPr>
          <w:p>
            <w:pPr>
              <w:widowControl/>
              <w:snapToGrid w:val="0"/>
              <w:jc w:val="center"/>
              <w:rPr>
                <w:rFonts w:ascii="仿宋_GB2312" w:hAnsi="仿宋" w:eastAsia="仿宋_GB2312"/>
                <w:sz w:val="24"/>
              </w:rPr>
            </w:pPr>
          </w:p>
        </w:tc>
        <w:tc>
          <w:tcPr>
            <w:tcW w:w="1071" w:type="dxa"/>
            <w:vMerge w:val="continue"/>
            <w:noWrap w:val="0"/>
            <w:vAlign w:val="center"/>
          </w:tcPr>
          <w:p>
            <w:pPr>
              <w:widowControl/>
              <w:snapToGrid w:val="0"/>
              <w:jc w:val="center"/>
              <w:rPr>
                <w:rFonts w:ascii="仿宋_GB2312" w:hAnsi="仿宋" w:eastAsia="仿宋_GB2312"/>
                <w:sz w:val="24"/>
              </w:rPr>
            </w:pPr>
          </w:p>
        </w:tc>
        <w:tc>
          <w:tcPr>
            <w:tcW w:w="1129" w:type="dxa"/>
            <w:vMerge w:val="continue"/>
            <w:noWrap w:val="0"/>
            <w:vAlign w:val="center"/>
          </w:tcPr>
          <w:p>
            <w:pPr>
              <w:widowControl/>
              <w:snapToGrid w:val="0"/>
              <w:jc w:val="center"/>
              <w:rPr>
                <w:rFonts w:ascii="仿宋_GB2312" w:hAnsi="仿宋" w:eastAsia="仿宋_GB2312"/>
                <w:sz w:val="24"/>
              </w:rPr>
            </w:pPr>
          </w:p>
        </w:tc>
        <w:tc>
          <w:tcPr>
            <w:tcW w:w="845" w:type="dxa"/>
            <w:vMerge w:val="continue"/>
            <w:noWrap w:val="0"/>
            <w:vAlign w:val="center"/>
          </w:tcPr>
          <w:p>
            <w:pPr>
              <w:widowControl/>
              <w:snapToGrid w:val="0"/>
              <w:jc w:val="center"/>
              <w:rPr>
                <w:rFonts w:ascii="仿宋_GB2312" w:hAnsi="仿宋" w:eastAsia="仿宋_GB2312"/>
                <w:sz w:val="24"/>
              </w:rPr>
            </w:pPr>
          </w:p>
        </w:tc>
        <w:tc>
          <w:tcPr>
            <w:tcW w:w="154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24410-2009 附录 A</w:t>
            </w:r>
          </w:p>
        </w:tc>
        <w:tc>
          <w:tcPr>
            <w:tcW w:w="3097" w:type="dxa"/>
            <w:noWrap w:val="0"/>
            <w:vAlign w:val="center"/>
          </w:tcPr>
          <w:p>
            <w:pPr>
              <w:adjustRightInd w:val="0"/>
              <w:snapToGrid w:val="0"/>
              <w:rPr>
                <w:rFonts w:ascii="仿宋_GB2312" w:hAnsi="仿宋" w:eastAsia="仿宋_GB2312"/>
                <w:sz w:val="24"/>
              </w:rPr>
            </w:pPr>
            <w:r>
              <w:rPr>
                <w:rFonts w:hint="eastAsia" w:ascii="仿宋_GB2312" w:hAnsi="仿宋" w:eastAsia="仿宋_GB2312"/>
                <w:sz w:val="24"/>
              </w:rPr>
              <w:t>木家具及木制品制造涂料腻子</w:t>
            </w:r>
          </w:p>
        </w:tc>
        <w:tc>
          <w:tcPr>
            <w:tcW w:w="687" w:type="dxa"/>
            <w:vMerge w:val="continue"/>
            <w:noWrap w:val="0"/>
            <w:vAlign w:val="center"/>
          </w:tcPr>
          <w:p>
            <w:pPr>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94" w:type="dxa"/>
            <w:vMerge w:val="continue"/>
            <w:noWrap w:val="0"/>
            <w:vAlign w:val="center"/>
          </w:tcPr>
          <w:p>
            <w:pPr>
              <w:widowControl/>
              <w:snapToGrid w:val="0"/>
              <w:jc w:val="center"/>
              <w:rPr>
                <w:rFonts w:ascii="仿宋_GB2312" w:hAnsi="仿宋" w:eastAsia="仿宋_GB2312"/>
                <w:sz w:val="24"/>
              </w:rPr>
            </w:pPr>
          </w:p>
        </w:tc>
        <w:tc>
          <w:tcPr>
            <w:tcW w:w="1071" w:type="dxa"/>
            <w:vMerge w:val="continue"/>
            <w:noWrap w:val="0"/>
            <w:vAlign w:val="center"/>
          </w:tcPr>
          <w:p>
            <w:pPr>
              <w:widowControl/>
              <w:snapToGrid w:val="0"/>
              <w:jc w:val="center"/>
              <w:rPr>
                <w:rFonts w:ascii="仿宋_GB2312" w:hAnsi="仿宋" w:eastAsia="仿宋_GB2312"/>
                <w:sz w:val="24"/>
              </w:rPr>
            </w:pPr>
          </w:p>
        </w:tc>
        <w:tc>
          <w:tcPr>
            <w:tcW w:w="1129" w:type="dxa"/>
            <w:vMerge w:val="continue"/>
            <w:noWrap w:val="0"/>
            <w:vAlign w:val="center"/>
          </w:tcPr>
          <w:p>
            <w:pPr>
              <w:widowControl/>
              <w:snapToGrid w:val="0"/>
              <w:jc w:val="center"/>
              <w:rPr>
                <w:rFonts w:ascii="仿宋_GB2312" w:hAnsi="仿宋" w:eastAsia="仿宋_GB2312"/>
                <w:sz w:val="24"/>
              </w:rPr>
            </w:pPr>
          </w:p>
        </w:tc>
        <w:tc>
          <w:tcPr>
            <w:tcW w:w="845" w:type="dxa"/>
            <w:vMerge w:val="continue"/>
            <w:noWrap w:val="0"/>
            <w:vAlign w:val="center"/>
          </w:tcPr>
          <w:p>
            <w:pPr>
              <w:widowControl/>
              <w:snapToGrid w:val="0"/>
              <w:jc w:val="center"/>
              <w:rPr>
                <w:rFonts w:ascii="仿宋_GB2312" w:hAnsi="仿宋" w:eastAsia="仿宋_GB2312"/>
                <w:sz w:val="24"/>
              </w:rPr>
            </w:pPr>
          </w:p>
        </w:tc>
        <w:tc>
          <w:tcPr>
            <w:tcW w:w="154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 23986-2009</w:t>
            </w:r>
          </w:p>
        </w:tc>
        <w:tc>
          <w:tcPr>
            <w:tcW w:w="3097" w:type="dxa"/>
            <w:noWrap w:val="0"/>
            <w:vAlign w:val="center"/>
          </w:tcPr>
          <w:p>
            <w:pPr>
              <w:adjustRightInd w:val="0"/>
              <w:snapToGrid w:val="0"/>
              <w:rPr>
                <w:rFonts w:ascii="仿宋_GB2312" w:hAnsi="仿宋" w:eastAsia="仿宋_GB2312"/>
                <w:sz w:val="24"/>
              </w:rPr>
            </w:pPr>
            <w:r>
              <w:rPr>
                <w:rFonts w:hint="eastAsia" w:ascii="仿宋_GB2312" w:hAnsi="仿宋" w:eastAsia="仿宋_GB2312"/>
                <w:sz w:val="24"/>
              </w:rPr>
              <w:t>涂料中挥发性有机物预期含量大于0.1%（质量分数）而小于等于15%（质量分数）的工业涂装涂料</w:t>
            </w:r>
          </w:p>
        </w:tc>
        <w:tc>
          <w:tcPr>
            <w:tcW w:w="687" w:type="dxa"/>
            <w:vMerge w:val="continue"/>
            <w:noWrap w:val="0"/>
            <w:vAlign w:val="center"/>
          </w:tcPr>
          <w:p>
            <w:pPr>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8972" w:type="dxa"/>
            <w:gridSpan w:val="7"/>
            <w:noWrap w:val="0"/>
            <w:vAlign w:val="center"/>
          </w:tcPr>
          <w:p>
            <w:pPr>
              <w:snapToGrid w:val="0"/>
              <w:jc w:val="left"/>
              <w:rPr>
                <w:rFonts w:ascii="仿宋_GB2312" w:hAnsi="宋体" w:eastAsia="仿宋_GB2312"/>
                <w:sz w:val="24"/>
              </w:rPr>
            </w:pPr>
            <w:r>
              <w:rPr>
                <w:rFonts w:hint="eastAsia" w:ascii="仿宋_GB2312" w:hAnsi="宋体" w:eastAsia="仿宋_GB2312"/>
                <w:sz w:val="24"/>
              </w:rPr>
              <w:t>注：</w:t>
            </w:r>
          </w:p>
          <w:p>
            <w:pPr>
              <w:snapToGrid w:val="0"/>
              <w:jc w:val="left"/>
              <w:rPr>
                <w:rFonts w:ascii="仿宋_GB2312" w:hAnsi="仿宋" w:eastAsia="仿宋_GB2312"/>
                <w:bCs/>
                <w:sz w:val="24"/>
              </w:rPr>
            </w:pPr>
            <w:r>
              <w:rPr>
                <w:rFonts w:hint="eastAsia" w:ascii="仿宋_GB2312" w:hAnsi="仿宋" w:eastAsia="仿宋_GB2312"/>
                <w:sz w:val="24"/>
              </w:rPr>
              <w:t>上述检验项目原则上使用原样复检，当原样样品量不足或破损时，可使用备样复检。</w:t>
            </w:r>
          </w:p>
        </w:tc>
      </w:tr>
    </w:tbl>
    <w:p>
      <w:pPr>
        <w:snapToGrid w:val="0"/>
        <w:spacing w:line="360" w:lineRule="auto"/>
        <w:rPr>
          <w:rFonts w:ascii="仿宋_GB2312" w:hAnsi="宋体" w:eastAsia="仿宋_GB2312"/>
          <w:b/>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 xml:space="preserve"> 检验应注意的问题</w:t>
      </w:r>
    </w:p>
    <w:p>
      <w:pPr>
        <w:snapToGrid w:val="0"/>
        <w:spacing w:line="360" w:lineRule="auto"/>
        <w:rPr>
          <w:rFonts w:ascii="仿宋_GB2312" w:hAnsi="宋体" w:eastAsia="仿宋_GB2312"/>
          <w:iCs/>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.1</w:t>
      </w:r>
      <w:r>
        <w:rPr>
          <w:rFonts w:hint="eastAsia" w:ascii="仿宋_GB2312" w:hAnsi="Calibri" w:eastAsia="仿宋_GB2312" w:cs="Sim Sun"/>
          <w:kern w:val="0"/>
          <w:sz w:val="32"/>
          <w:szCs w:val="32"/>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32"/>
          <w:szCs w:val="32"/>
        </w:rPr>
        <w:t>备用</w:t>
      </w:r>
      <w:r>
        <w:rPr>
          <w:rFonts w:hint="eastAsia" w:ascii="仿宋_GB2312" w:hAnsi="宋体" w:eastAsia="仿宋_GB2312"/>
          <w:iCs/>
          <w:sz w:val="32"/>
          <w:szCs w:val="32"/>
        </w:rPr>
        <w:t>样品应该贮存在阴凉、干燥、安全、避光处，在整个保存期间应保证签封完整无损。</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6.2.2</w:t>
      </w:r>
      <w:r>
        <w:rPr>
          <w:rFonts w:hint="eastAsia" w:ascii="仿宋_GB2312" w:eastAsia="仿宋_GB2312" w:cs="Sim Sun"/>
          <w:kern w:val="0"/>
          <w:sz w:val="32"/>
          <w:szCs w:val="32"/>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6.2.3</w:t>
      </w:r>
      <w:r>
        <w:rPr>
          <w:rFonts w:hint="eastAsia" w:ascii="仿宋_GB2312" w:eastAsia="仿宋_GB2312" w:cs="Sim Sun"/>
          <w:kern w:val="0"/>
          <w:sz w:val="32"/>
          <w:szCs w:val="32"/>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7 判定原则</w:t>
      </w:r>
    </w:p>
    <w:p>
      <w:pPr>
        <w:snapToGrid w:val="0"/>
        <w:spacing w:line="360" w:lineRule="auto"/>
        <w:ind w:firstLine="640" w:firstLineChars="200"/>
        <w:rPr>
          <w:rFonts w:ascii="仿宋_GB2312" w:eastAsia="仿宋_GB2312" w:cs="Sim Sun"/>
          <w:kern w:val="0"/>
          <w:sz w:val="32"/>
          <w:szCs w:val="32"/>
        </w:rPr>
      </w:pPr>
      <w:r>
        <w:rPr>
          <w:rFonts w:hint="eastAsia" w:ascii="仿宋_GB2312" w:eastAsia="仿宋_GB2312" w:cs="Sim Sun"/>
          <w:kern w:val="0"/>
          <w:sz w:val="32"/>
          <w:szCs w:val="32"/>
        </w:rPr>
        <w:t>经检验，所检样品全部项目合格，判该产品本次监督抽查结果合格；出现一项或一项以上</w:t>
      </w:r>
      <w:r>
        <w:rPr>
          <w:rFonts w:hint="eastAsia" w:ascii="仿宋_GB2312" w:hAnsi="宋体" w:eastAsia="仿宋_GB2312"/>
          <w:sz w:val="32"/>
          <w:szCs w:val="32"/>
        </w:rPr>
        <w:t>项目</w:t>
      </w:r>
      <w:r>
        <w:rPr>
          <w:rFonts w:hint="eastAsia" w:ascii="仿宋_GB2312" w:eastAsia="仿宋_GB2312" w:cs="Sim Sun"/>
          <w:kern w:val="0"/>
          <w:sz w:val="32"/>
          <w:szCs w:val="32"/>
        </w:rPr>
        <w:t>不合格，判该产品本次监督检验结果不合格。</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8 异议处理复检</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.1</w:t>
      </w:r>
      <w:r>
        <w:rPr>
          <w:rFonts w:hint="eastAsia" w:ascii="仿宋_GB2312" w:eastAsia="仿宋_GB2312" w:cs="Sim Sun"/>
          <w:iCs/>
          <w:kern w:val="0"/>
          <w:sz w:val="32"/>
          <w:szCs w:val="32"/>
        </w:rPr>
        <w:t>被抽查企业在收到检验结果，对结果有异议时，</w:t>
      </w:r>
      <w:r>
        <w:rPr>
          <w:rFonts w:ascii="仿宋_GB2312" w:eastAsia="仿宋_GB2312" w:cs="Sim Sun"/>
          <w:iCs/>
          <w:kern w:val="0"/>
          <w:sz w:val="32"/>
          <w:szCs w:val="32"/>
        </w:rPr>
        <w:t>可以自收到检验结果之日起15日内向</w:t>
      </w:r>
      <w:r>
        <w:rPr>
          <w:rFonts w:hint="eastAsia" w:ascii="仿宋_GB2312" w:eastAsia="仿宋_GB2312" w:cs="Sim Sun"/>
          <w:iCs/>
          <w:kern w:val="0"/>
          <w:sz w:val="32"/>
          <w:szCs w:val="32"/>
        </w:rPr>
        <w:t>深圳市市场监督管理局</w:t>
      </w:r>
      <w:r>
        <w:rPr>
          <w:rFonts w:ascii="仿宋_GB2312" w:eastAsia="仿宋_GB2312" w:cs="Sim Sun"/>
          <w:iCs/>
          <w:kern w:val="0"/>
          <w:sz w:val="32"/>
          <w:szCs w:val="32"/>
        </w:rPr>
        <w:t>提出书面复检申请。逾期未提出异议的，视为承认检验结果。</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.2</w:t>
      </w:r>
      <w:r>
        <w:rPr>
          <w:rFonts w:ascii="仿宋_GB2312" w:eastAsia="仿宋_GB2312" w:cs="Sim Sun"/>
          <w:iCs/>
          <w:kern w:val="0"/>
          <w:sz w:val="32"/>
          <w:szCs w:val="32"/>
        </w:rPr>
        <w:t>检验机构</w:t>
      </w:r>
      <w:r>
        <w:rPr>
          <w:rFonts w:hint="eastAsia" w:ascii="仿宋_GB2312" w:eastAsia="仿宋_GB2312" w:cs="Sim Sun"/>
          <w:iCs/>
          <w:kern w:val="0"/>
          <w:sz w:val="32"/>
          <w:szCs w:val="32"/>
        </w:rPr>
        <w:t>接到深圳市市场监督管理局的复检通知后</w:t>
      </w:r>
      <w:r>
        <w:rPr>
          <w:rFonts w:ascii="仿宋_GB2312" w:eastAsia="仿宋_GB2312" w:cs="Sim Sun"/>
          <w:iCs/>
          <w:kern w:val="0"/>
          <w:sz w:val="32"/>
          <w:szCs w:val="32"/>
        </w:rPr>
        <w:t>应当按原监督抽查方案</w:t>
      </w:r>
      <w:r>
        <w:rPr>
          <w:rFonts w:hint="eastAsia" w:ascii="仿宋_GB2312" w:eastAsia="仿宋_GB2312" w:cs="Sim Sun"/>
          <w:iCs/>
          <w:kern w:val="0"/>
          <w:sz w:val="32"/>
          <w:szCs w:val="32"/>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32"/>
        </w:rPr>
        <w:t>的结论。</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8.</w:t>
      </w:r>
      <w:r>
        <w:rPr>
          <w:rFonts w:ascii="仿宋_GB2312" w:eastAsia="仿宋_GB2312" w:cs="Sim Sun"/>
          <w:b/>
          <w:kern w:val="0"/>
          <w:sz w:val="32"/>
          <w:szCs w:val="32"/>
        </w:rPr>
        <w:t>3</w:t>
      </w:r>
      <w:r>
        <w:rPr>
          <w:rFonts w:ascii="仿宋_GB2312" w:eastAsia="仿宋_GB2312" w:cs="Sim Sun"/>
          <w:iCs/>
          <w:kern w:val="0"/>
          <w:sz w:val="32"/>
          <w:szCs w:val="32"/>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32"/>
          <w:szCs w:val="32"/>
        </w:rPr>
      </w:pPr>
      <w:r>
        <w:rPr>
          <w:rFonts w:hint="eastAsia" w:ascii="仿宋_GB2312" w:eastAsia="仿宋_GB2312" w:cs="Sim Sun"/>
          <w:kern w:val="0"/>
          <w:sz w:val="32"/>
          <w:szCs w:val="32"/>
        </w:rPr>
        <w:t>8.4若复检机构与初检机构为同一家机构，则复检检验人员与初检检验人员不得为同一人（含审核人员）。</w:t>
      </w:r>
    </w:p>
    <w:p>
      <w:pPr>
        <w:snapToGrid w:val="0"/>
        <w:spacing w:line="360" w:lineRule="auto"/>
        <w:rPr>
          <w:rFonts w:ascii="仿宋_GB2312" w:eastAsia="仿宋_GB2312" w:cs="Sim Sun"/>
          <w:kern w:val="0"/>
          <w:sz w:val="32"/>
          <w:szCs w:val="32"/>
        </w:rPr>
      </w:pPr>
      <w:r>
        <w:rPr>
          <w:rFonts w:hint="eastAsia" w:ascii="仿宋_GB2312" w:eastAsia="仿宋_GB2312" w:cs="Sim Sun"/>
          <w:kern w:val="0"/>
          <w:sz w:val="32"/>
          <w:szCs w:val="32"/>
        </w:rPr>
        <w:t>8.5需对不合格项目复检时，按6.1选择复检样品。</w:t>
      </w:r>
    </w:p>
    <w:p>
      <w:pPr>
        <w:snapToGrid w:val="0"/>
        <w:spacing w:line="360" w:lineRule="auto"/>
        <w:rPr>
          <w:rFonts w:ascii="仿宋_GB2312" w:eastAsia="仿宋_GB2312" w:cs="Sim Sun"/>
          <w:kern w:val="0"/>
          <w:sz w:val="32"/>
          <w:szCs w:val="32"/>
        </w:rPr>
      </w:pPr>
      <w:r>
        <w:rPr>
          <w:rFonts w:hint="eastAsia" w:ascii="仿宋_GB2312" w:eastAsia="仿宋_GB2312" w:cs="Sim Sun"/>
          <w:kern w:val="0"/>
          <w:sz w:val="32"/>
          <w:szCs w:val="32"/>
        </w:rPr>
        <w:t>8.6深圳市市场监督管理局根据初检、复验结果及企业提交的证明材料，做出复检结论，复检结论为最终结论。</w:t>
      </w:r>
    </w:p>
    <w:p>
      <w:pPr>
        <w:snapToGrid w:val="0"/>
        <w:spacing w:line="360" w:lineRule="auto"/>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 xml:space="preserve"> 附则</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本规范编制单位：</w:t>
      </w:r>
      <w:r>
        <w:rPr>
          <w:rFonts w:hint="eastAsia" w:ascii="仿宋_GB2312" w:eastAsia="仿宋_GB2312"/>
          <w:sz w:val="32"/>
          <w:szCs w:val="32"/>
        </w:rPr>
        <w:t>深圳市计量质量检测研究院</w:t>
      </w:r>
      <w:r>
        <w:rPr>
          <w:rFonts w:hint="eastAsia" w:ascii="仿宋_GB2312" w:hAnsi="宋体" w:eastAsia="仿宋_GB2312"/>
          <w:sz w:val="32"/>
          <w:szCs w:val="32"/>
        </w:rPr>
        <w:t>。</w:t>
      </w:r>
    </w:p>
    <w:p>
      <w:pPr>
        <w:ind w:firstLine="640" w:firstLineChars="200"/>
      </w:pPr>
      <w:bookmarkStart w:id="0" w:name="_GoBack"/>
      <w:bookmarkEnd w:id="0"/>
      <w:r>
        <w:rPr>
          <w:rFonts w:hint="eastAsia" w:ascii="仿宋_GB2312" w:hAnsi="宋体" w:eastAsia="仿宋_GB2312"/>
          <w:sz w:val="32"/>
          <w:szCs w:val="32"/>
        </w:rPr>
        <w:t>本规范由</w:t>
      </w:r>
      <w:r>
        <w:rPr>
          <w:rFonts w:hint="eastAsia" w:ascii="仿宋_GB2312" w:hAnsi="宋体" w:eastAsia="仿宋_GB2312"/>
          <w:iCs/>
          <w:sz w:val="32"/>
          <w:szCs w:val="32"/>
        </w:rPr>
        <w:t>深圳市市场监督管理局质量处</w:t>
      </w:r>
      <w:r>
        <w:rPr>
          <w:rFonts w:hint="eastAsia" w:ascii="仿宋_GB2312" w:hAnsi="宋体" w:eastAsia="仿宋_GB2312"/>
          <w:sz w:val="32"/>
          <w:szCs w:val="32"/>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56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2020-05-21T00:54:22Z</dcterms:created>
  <dc:creator>changmy</dc:creator>
  <cp:lastModifiedBy>常孟园</cp:lastModifiedBy>
  <dcterms:modified xsi:type="dcterms:W3CDTF">2020-05-21T00:54:32Z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