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附件8</w:t>
      </w:r>
    </w:p>
    <w:p>
      <w:pPr>
        <w:jc w:val="center"/>
        <w:rPr>
          <w:rFonts w:hint="eastAsia" w:ascii="黑体" w:hAnsi="黑体" w:eastAsia="黑体"/>
          <w:sz w:val="36"/>
          <w:szCs w:val="36"/>
        </w:rPr>
      </w:pPr>
      <w:r>
        <w:rPr>
          <w:rFonts w:hint="eastAsia" w:ascii="黑体" w:hAnsi="黑体" w:eastAsia="黑体"/>
          <w:sz w:val="36"/>
          <w:szCs w:val="36"/>
        </w:rPr>
        <w:t>深圳市市场监督管理局深汕特别合作区</w:t>
      </w:r>
    </w:p>
    <w:p>
      <w:pPr>
        <w:spacing w:before="240" w:beforeLines="75" w:line="360" w:lineRule="auto"/>
        <w:jc w:val="center"/>
        <w:rPr>
          <w:rFonts w:ascii="黑体" w:hAnsi="黑体" w:eastAsia="黑体"/>
          <w:sz w:val="36"/>
          <w:szCs w:val="36"/>
        </w:rPr>
      </w:pPr>
      <w:r>
        <w:rPr>
          <w:rFonts w:hint="eastAsia" w:ascii="黑体" w:hAnsi="黑体" w:eastAsia="黑体"/>
          <w:sz w:val="36"/>
          <w:szCs w:val="36"/>
        </w:rPr>
        <w:t>安全帽产品质量监督抽查实施规范</w:t>
      </w:r>
    </w:p>
    <w:p>
      <w:pPr>
        <w:spacing w:before="240" w:beforeLines="75" w:line="360" w:lineRule="auto"/>
        <w:jc w:val="center"/>
        <w:rPr>
          <w:rFonts w:ascii="黑体" w:hAnsi="黑体" w:eastAsia="黑体"/>
          <w:sz w:val="28"/>
        </w:rPr>
      </w:pPr>
      <w:bookmarkStart w:id="0" w:name="_GoBack"/>
      <w:bookmarkEnd w:id="0"/>
      <w:r>
        <w:rPr>
          <w:rFonts w:hint="eastAsia" w:ascii="黑体" w:hAnsi="黑体" w:eastAsia="黑体"/>
          <w:sz w:val="28"/>
        </w:rPr>
        <w:t>编号</w:t>
      </w:r>
      <w:r>
        <w:rPr>
          <w:rFonts w:ascii="黑体" w:hAnsi="黑体" w:eastAsia="黑体"/>
          <w:sz w:val="28"/>
        </w:rPr>
        <w:t>：CCGF-SZ-161-</w:t>
      </w:r>
      <w:r>
        <w:rPr>
          <w:rFonts w:hint="eastAsia" w:ascii="黑体" w:hAnsi="黑体" w:eastAsia="黑体"/>
          <w:sz w:val="28"/>
        </w:rPr>
        <w:t>2020</w:t>
      </w:r>
    </w:p>
    <w:p>
      <w:pPr>
        <w:spacing w:before="240" w:beforeLines="75" w:line="360" w:lineRule="auto"/>
        <w:jc w:val="center"/>
        <w:rPr>
          <w:rFonts w:ascii="黑体" w:hAnsi="黑体" w:eastAsia="黑体"/>
          <w:sz w:val="28"/>
        </w:rPr>
      </w:pPr>
      <w:r>
        <w:rPr>
          <w:rFonts w:hint="eastAsia" w:ascii="黑体" w:hAnsi="黑体" w:eastAsia="黑体"/>
          <w:sz w:val="28"/>
        </w:rPr>
        <w:t xml:space="preserve"> </w:t>
      </w:r>
    </w:p>
    <w:p>
      <w:pPr>
        <w:pStyle w:val="3"/>
      </w:pPr>
      <w:r>
        <w:rPr>
          <w:rFonts w:hint="eastAsia"/>
        </w:rPr>
        <w:t>1 适用范围</w:t>
      </w:r>
    </w:p>
    <w:p>
      <w:pPr>
        <w:snapToGrid w:val="0"/>
        <w:spacing w:line="360" w:lineRule="auto"/>
        <w:ind w:firstLine="548" w:firstLineChars="196"/>
        <w:rPr>
          <w:rFonts w:ascii="仿宋_GB2312" w:hAnsi="仿宋" w:eastAsia="仿宋_GB2312"/>
          <w:sz w:val="28"/>
          <w:szCs w:val="28"/>
        </w:rPr>
      </w:pPr>
      <w:r>
        <w:rPr>
          <w:rFonts w:hint="eastAsia" w:ascii="仿宋_GB2312" w:hAnsi="宋体" w:eastAsia="仿宋_GB2312"/>
          <w:sz w:val="28"/>
          <w:szCs w:val="28"/>
        </w:rPr>
        <w:t>本实施规范适用于深圳市深汕特别合作区流通领域安全帽产品质量监督抽查。监督抽查产品范围适用于：</w:t>
      </w:r>
      <w:r>
        <w:rPr>
          <w:rFonts w:hint="eastAsia" w:ascii="仿宋_GB2312" w:hAnsi="仿宋" w:eastAsia="仿宋_GB2312"/>
          <w:sz w:val="28"/>
          <w:szCs w:val="28"/>
        </w:rPr>
        <w:t>普通型安全帽及特殊型安全帽</w:t>
      </w:r>
      <w:r>
        <w:rPr>
          <w:rFonts w:hint="eastAsia" w:ascii="仿宋_GB2312" w:hAnsi="仿宋" w:eastAsia="仿宋_GB2312"/>
          <w:bCs/>
          <w:kern w:val="0"/>
          <w:sz w:val="32"/>
          <w:szCs w:val="32"/>
        </w:rPr>
        <w:t>。</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本实施规范内容包括适用范围、产品种类、术语和定义、检验依据、抽样、检验要求，判定原则及异议处理复检。</w:t>
      </w:r>
    </w:p>
    <w:p>
      <w:pPr>
        <w:pStyle w:val="3"/>
      </w:pPr>
      <w:r>
        <w:rPr>
          <w:rFonts w:hint="eastAsia"/>
        </w:rPr>
        <w:t>2</w:t>
      </w:r>
      <w:r>
        <w:t xml:space="preserve"> </w:t>
      </w:r>
      <w:r>
        <w:rPr>
          <w:rFonts w:hint="eastAsia"/>
        </w:rPr>
        <w:t>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5"/>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snapToGrid w:val="0"/>
              <w:spacing w:line="300" w:lineRule="exact"/>
              <w:jc w:val="center"/>
              <w:rPr>
                <w:rFonts w:ascii="仿宋_GB2312" w:hAnsi="宋体" w:eastAsia="仿宋_GB2312"/>
                <w:szCs w:val="21"/>
              </w:rPr>
            </w:pPr>
            <w:r>
              <w:rPr>
                <w:rFonts w:ascii="仿宋_GB2312" w:hAnsi="宋体" w:eastAsia="仿宋_GB2312"/>
                <w:szCs w:val="21"/>
              </w:rPr>
              <w:t>安全帽</w:t>
            </w:r>
          </w:p>
        </w:tc>
        <w:tc>
          <w:tcPr>
            <w:tcW w:w="6305" w:type="dxa"/>
            <w:noWrap w:val="0"/>
            <w:vAlign w:val="center"/>
          </w:tcPr>
          <w:p>
            <w:pPr>
              <w:snapToGrid w:val="0"/>
              <w:spacing w:line="300" w:lineRule="exact"/>
              <w:jc w:val="left"/>
              <w:rPr>
                <w:rFonts w:ascii="仿宋_GB2312" w:hAnsi="宋体" w:eastAsia="仿宋_GB2312"/>
                <w:szCs w:val="21"/>
              </w:rPr>
            </w:pPr>
            <w:r>
              <w:rPr>
                <w:rFonts w:hint="eastAsia" w:ascii="仿宋_GB2312" w:hAnsi="宋体" w:eastAsia="仿宋_GB2312"/>
                <w:szCs w:val="21"/>
              </w:rPr>
              <w:t>按照产品功能分为普通型安全帽，特殊型安全帽；按照产品材料分为塑料安全帽、玻璃钢安全帽、橡胶安全帽、金属安全帽、植物编织安全帽。</w:t>
            </w:r>
          </w:p>
        </w:tc>
      </w:tr>
    </w:tbl>
    <w:p>
      <w:pPr>
        <w:pStyle w:val="3"/>
      </w:pPr>
      <w:r>
        <w:rPr>
          <w:rFonts w:hint="eastAsia"/>
        </w:rPr>
        <w:t>3 术语和定义</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术语和定义见表2。</w:t>
      </w:r>
    </w:p>
    <w:p>
      <w:pPr>
        <w:snapToGrid w:val="0"/>
        <w:spacing w:line="360" w:lineRule="auto"/>
        <w:ind w:firstLine="560" w:firstLineChars="200"/>
        <w:rPr>
          <w:rFonts w:hint="eastAsia" w:ascii="仿宋_GB2312" w:hAnsi="宋体" w:eastAsia="仿宋_GB2312"/>
          <w:sz w:val="28"/>
          <w:szCs w:val="28"/>
        </w:rPr>
      </w:pPr>
    </w:p>
    <w:p>
      <w:pPr>
        <w:snapToGrid w:val="0"/>
        <w:spacing w:line="360" w:lineRule="auto"/>
        <w:ind w:firstLine="560" w:firstLineChars="200"/>
        <w:rPr>
          <w:rFonts w:ascii="仿宋_GB2312" w:hAnsi="宋体" w:eastAsia="仿宋_GB2312"/>
          <w:sz w:val="28"/>
          <w:szCs w:val="28"/>
        </w:rPr>
      </w:pP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5"/>
        <w:tblW w:w="8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6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blHeader/>
          <w:jc w:val="center"/>
        </w:trPr>
        <w:tc>
          <w:tcPr>
            <w:tcW w:w="1942" w:type="dxa"/>
            <w:noWrap w:val="0"/>
            <w:vAlign w:val="center"/>
          </w:tcPr>
          <w:p>
            <w:pPr>
              <w:snapToGrid w:val="0"/>
              <w:spacing w:line="300" w:lineRule="exact"/>
              <w:jc w:val="center"/>
              <w:rPr>
                <w:rFonts w:ascii="仿宋_GB2312" w:hAnsi="宋体" w:eastAsia="仿宋_GB2312"/>
                <w:b/>
                <w:szCs w:val="21"/>
              </w:rPr>
            </w:pPr>
            <w:r>
              <w:rPr>
                <w:rFonts w:hint="eastAsia" w:ascii="仿宋_GB2312" w:hAnsi="宋体" w:eastAsia="仿宋_GB2312"/>
                <w:b/>
                <w:szCs w:val="21"/>
              </w:rPr>
              <w:t>产品种类</w:t>
            </w:r>
          </w:p>
        </w:tc>
        <w:tc>
          <w:tcPr>
            <w:tcW w:w="6824" w:type="dxa"/>
            <w:noWrap w:val="0"/>
            <w:vAlign w:val="center"/>
          </w:tcPr>
          <w:p>
            <w:pPr>
              <w:snapToGrid w:val="0"/>
              <w:spacing w:line="300" w:lineRule="exact"/>
              <w:jc w:val="center"/>
              <w:rPr>
                <w:rFonts w:ascii="仿宋_GB2312" w:hAnsi="宋体" w:eastAsia="仿宋_GB2312"/>
                <w:b/>
                <w:szCs w:val="21"/>
              </w:rPr>
            </w:pPr>
            <w:r>
              <w:rPr>
                <w:rFonts w:hint="eastAsia" w:ascii="仿宋_GB2312" w:hAnsi="宋体" w:eastAsia="仿宋_GB2312"/>
                <w:b/>
                <w:szCs w:val="21"/>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942" w:type="dxa"/>
            <w:noWrap w:val="0"/>
            <w:vAlign w:val="center"/>
          </w:tcPr>
          <w:p>
            <w:pPr>
              <w:autoSpaceDE w:val="0"/>
              <w:autoSpaceDN w:val="0"/>
              <w:adjustRightInd w:val="0"/>
              <w:spacing w:line="300" w:lineRule="exact"/>
              <w:rPr>
                <w:rFonts w:ascii="仿宋_GB2312" w:hAnsi="宋体" w:eastAsia="仿宋_GB2312"/>
                <w:szCs w:val="21"/>
              </w:rPr>
            </w:pPr>
            <w:r>
              <w:rPr>
                <w:rFonts w:ascii="仿宋_GB2312" w:hAnsi="宋体" w:eastAsia="仿宋_GB2312"/>
                <w:szCs w:val="21"/>
              </w:rPr>
              <w:t>安全帽</w:t>
            </w:r>
          </w:p>
        </w:tc>
        <w:tc>
          <w:tcPr>
            <w:tcW w:w="6824" w:type="dxa"/>
            <w:noWrap w:val="0"/>
            <w:vAlign w:val="center"/>
          </w:tcPr>
          <w:p>
            <w:pPr>
              <w:autoSpaceDE w:val="0"/>
              <w:autoSpaceDN w:val="0"/>
              <w:adjustRightInd w:val="0"/>
              <w:spacing w:line="300" w:lineRule="exact"/>
              <w:rPr>
                <w:rFonts w:ascii="仿宋_GB2312" w:hAnsi="宋体" w:eastAsia="仿宋_GB2312"/>
                <w:szCs w:val="21"/>
              </w:rPr>
            </w:pPr>
            <w:r>
              <w:rPr>
                <w:rFonts w:hint="eastAsia" w:ascii="仿宋_GB2312" w:hAnsi="宋体" w:eastAsia="仿宋_GB2312"/>
                <w:szCs w:val="21"/>
              </w:rPr>
              <w:t>安全帽是指对人头部受坠落物及其他特定因素引起的伤害起防护作用的帽子。安全帽由帽壳、帽衬、下颏带及附件等组成。</w:t>
            </w:r>
          </w:p>
        </w:tc>
      </w:tr>
    </w:tbl>
    <w:p>
      <w:pPr>
        <w:snapToGrid w:val="0"/>
        <w:rPr>
          <w:rFonts w:ascii="黑体" w:hAnsi="黑体" w:eastAsia="黑体"/>
          <w:sz w:val="28"/>
          <w:szCs w:val="28"/>
        </w:rPr>
      </w:pPr>
    </w:p>
    <w:p>
      <w:pPr>
        <w:pStyle w:val="3"/>
      </w:pPr>
      <w:r>
        <w:rPr>
          <w:rFonts w:hint="eastAsia"/>
        </w:rPr>
        <w:t>4 检验依据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jc w:val="center"/>
        <w:rPr>
          <w:rFonts w:ascii="黑体" w:hAnsi="黑体" w:eastAsia="黑体"/>
          <w:sz w:val="28"/>
          <w:szCs w:val="28"/>
        </w:rPr>
      </w:pPr>
      <w:r>
        <w:rPr>
          <w:rFonts w:hint="eastAsia" w:ascii="黑体" w:hAnsi="黑体" w:eastAsia="黑体"/>
          <w:sz w:val="28"/>
          <w:szCs w:val="28"/>
        </w:rPr>
        <w:t>表3 检验依据</w:t>
      </w:r>
    </w:p>
    <w:tbl>
      <w:tblPr>
        <w:tblStyle w:val="5"/>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9"/>
        <w:gridCol w:w="4065"/>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2329"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标准号</w:t>
            </w:r>
          </w:p>
        </w:tc>
        <w:tc>
          <w:tcPr>
            <w:tcW w:w="4065"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标准名称</w:t>
            </w:r>
          </w:p>
        </w:tc>
        <w:tc>
          <w:tcPr>
            <w:tcW w:w="2526"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329"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 2811-2007</w:t>
            </w:r>
          </w:p>
        </w:tc>
        <w:tc>
          <w:tcPr>
            <w:tcW w:w="406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安全帽</w:t>
            </w:r>
          </w:p>
        </w:tc>
        <w:tc>
          <w:tcPr>
            <w:tcW w:w="2526"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CAL □CNAS</w:t>
            </w:r>
          </w:p>
        </w:tc>
      </w:tr>
    </w:tbl>
    <w:p>
      <w:pPr>
        <w:snapToGrid w:val="0"/>
        <w:jc w:val="center"/>
        <w:rPr>
          <w:rFonts w:ascii="黑体" w:hAnsi="黑体" w:eastAsia="黑体"/>
          <w:sz w:val="28"/>
          <w:szCs w:val="28"/>
        </w:rPr>
      </w:pP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pStyle w:val="3"/>
      </w:pPr>
      <w:r>
        <w:rPr>
          <w:rFonts w:hint="eastAsia"/>
        </w:rPr>
        <w:t>5 抽样</w:t>
      </w:r>
    </w:p>
    <w:p>
      <w:pPr>
        <w:pStyle w:val="4"/>
      </w:pPr>
      <w:r>
        <w:rPr>
          <w:rFonts w:hint="eastAsia"/>
        </w:rPr>
        <w:t>5.1 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pStyle w:val="4"/>
        <w:rPr>
          <w:rStyle w:val="8"/>
          <w:b/>
          <w:bCs/>
        </w:rPr>
      </w:pPr>
      <w:r>
        <w:rPr>
          <w:rStyle w:val="8"/>
          <w:rFonts w:hint="eastAsia"/>
          <w:b/>
          <w:bCs/>
        </w:rPr>
        <w:t>5</w:t>
      </w:r>
      <w:r>
        <w:rPr>
          <w:rStyle w:val="8"/>
          <w:b/>
          <w:bCs/>
        </w:rPr>
        <w:t xml:space="preserve">.2 </w:t>
      </w:r>
      <w:r>
        <w:rPr>
          <w:rStyle w:val="8"/>
          <w:rFonts w:hint="eastAsia"/>
          <w:b/>
          <w:bCs/>
        </w:rPr>
        <w:t>取样方式</w:t>
      </w:r>
    </w:p>
    <w:p>
      <w:pPr>
        <w:snapToGrid w:val="0"/>
        <w:spacing w:line="360" w:lineRule="auto"/>
        <w:ind w:firstLine="562" w:firstLineChars="200"/>
        <w:rPr>
          <w:rFonts w:ascii="仿宋_GB2312" w:hAnsi="宋体" w:eastAsia="仿宋_GB2312"/>
          <w:sz w:val="28"/>
          <w:szCs w:val="28"/>
        </w:rPr>
      </w:pPr>
      <w:r>
        <w:rPr>
          <w:rFonts w:hint="eastAsia" w:ascii="仿宋_GB2312" w:hAnsi="宋体" w:eastAsia="仿宋_GB2312"/>
          <w:b/>
          <w:bCs/>
          <w:sz w:val="28"/>
          <w:szCs w:val="28"/>
        </w:rPr>
        <w:t xml:space="preserve"> 流通领域：</w:t>
      </w:r>
      <w:r>
        <w:rPr>
          <w:rFonts w:hint="eastAsia" w:ascii="仿宋_GB2312" w:hAnsi="宋体" w:eastAsia="仿宋_GB2312"/>
          <w:sz w:val="28"/>
          <w:szCs w:val="28"/>
        </w:rPr>
        <w:t>本次抽样采取在流通领域实体店以及网络交易平台两种方式获得样品。</w:t>
      </w:r>
    </w:p>
    <w:p>
      <w:pPr>
        <w:snapToGrid w:val="0"/>
        <w:spacing w:line="360" w:lineRule="auto"/>
        <w:ind w:firstLine="570"/>
        <w:rPr>
          <w:rFonts w:ascii="仿宋_GB2312" w:hAnsi="宋体" w:eastAsia="仿宋_GB2312"/>
          <w:sz w:val="28"/>
          <w:szCs w:val="28"/>
        </w:rPr>
      </w:pPr>
      <w:r>
        <w:rPr>
          <w:rFonts w:hint="eastAsia" w:ascii="仿宋_GB2312" w:hAnsi="宋体" w:eastAsia="仿宋_GB2312"/>
          <w:sz w:val="28"/>
          <w:szCs w:val="28"/>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汕特别合作区登记注册的，可对该平台的自营商品进行抽检。若网络交易平台不在深汕特别合作区登记注册的，仅可对其平台上在深汕特别合作区依法登记的经营者销售的商品进行抽检。在网络平台抽样检验样品以及备用样品原则上均以向商家购样为主。</w:t>
      </w:r>
    </w:p>
    <w:p>
      <w:pPr>
        <w:pStyle w:val="4"/>
        <w:rPr>
          <w:rStyle w:val="8"/>
          <w:b/>
          <w:bCs/>
        </w:rPr>
      </w:pPr>
      <w:r>
        <w:rPr>
          <w:rStyle w:val="8"/>
          <w:rFonts w:hint="eastAsia"/>
          <w:b/>
          <w:bCs/>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市场上抽样时，抽样基数应不少于抽取样品量。</w:t>
      </w:r>
    </w:p>
    <w:p>
      <w:pPr>
        <w:pStyle w:val="4"/>
      </w:pPr>
      <w:r>
        <w:rPr>
          <w:rFonts w:hint="eastAsia"/>
        </w:rPr>
        <w:t>5.4 抽样数量</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流通领域（实体店）：检验样品带回承检机构，备用样品封存于受检单位。</w:t>
      </w:r>
    </w:p>
    <w:p>
      <w:pPr>
        <w:ind w:firstLine="560" w:firstLineChars="200"/>
        <w:rPr>
          <w:rFonts w:ascii="仿宋_GB2312" w:eastAsia="仿宋_GB2312"/>
          <w:sz w:val="28"/>
          <w:szCs w:val="28"/>
        </w:rPr>
      </w:pPr>
      <w:r>
        <w:rPr>
          <w:rFonts w:hint="eastAsia" w:ascii="仿宋_GB2312" w:eastAsia="仿宋_GB2312"/>
          <w:sz w:val="28"/>
          <w:szCs w:val="28"/>
        </w:rPr>
        <w:t>抽取样品的数量不得超过检验、复检的合理需要，具体数量见表4。</w:t>
      </w:r>
    </w:p>
    <w:p>
      <w:pPr>
        <w:snapToGrid w:val="0"/>
        <w:spacing w:line="360" w:lineRule="auto"/>
        <w:jc w:val="center"/>
        <w:rPr>
          <w:rFonts w:ascii="黑体" w:hAnsi="宋体" w:eastAsia="黑体"/>
          <w:sz w:val="28"/>
          <w:szCs w:val="28"/>
        </w:rPr>
      </w:pPr>
      <w:r>
        <w:rPr>
          <w:rFonts w:hint="eastAsia" w:ascii="黑体" w:hAnsi="宋体" w:eastAsia="黑体"/>
          <w:sz w:val="28"/>
          <w:szCs w:val="28"/>
        </w:rPr>
        <w:t>表4  每批次样品数量要求</w:t>
      </w:r>
    </w:p>
    <w:tbl>
      <w:tblPr>
        <w:tblStyle w:val="5"/>
        <w:tblW w:w="9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349"/>
        <w:gridCol w:w="1849"/>
        <w:gridCol w:w="2835"/>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blHeader/>
          <w:jc w:val="center"/>
        </w:trPr>
        <w:tc>
          <w:tcPr>
            <w:tcW w:w="674" w:type="dxa"/>
            <w:noWrap w:val="0"/>
            <w:vAlign w:val="center"/>
          </w:tcPr>
          <w:p>
            <w:pPr>
              <w:adjustRightInd w:val="0"/>
              <w:snapToGrid w:val="0"/>
              <w:jc w:val="center"/>
              <w:rPr>
                <w:rFonts w:ascii="黑体" w:hAnsi="黑体" w:eastAsia="黑体"/>
                <w:bCs/>
                <w:sz w:val="24"/>
              </w:rPr>
            </w:pPr>
            <w:r>
              <w:rPr>
                <w:rFonts w:hint="eastAsia" w:ascii="黑体" w:hAnsi="黑体" w:eastAsia="黑体"/>
                <w:bCs/>
                <w:sz w:val="24"/>
              </w:rPr>
              <w:t>序号</w:t>
            </w:r>
          </w:p>
        </w:tc>
        <w:tc>
          <w:tcPr>
            <w:tcW w:w="1349" w:type="dxa"/>
            <w:noWrap w:val="0"/>
            <w:vAlign w:val="center"/>
          </w:tcPr>
          <w:p>
            <w:pPr>
              <w:adjustRightInd w:val="0"/>
              <w:snapToGrid w:val="0"/>
              <w:jc w:val="center"/>
              <w:rPr>
                <w:rFonts w:ascii="黑体" w:hAnsi="黑体" w:eastAsia="黑体"/>
                <w:bCs/>
                <w:sz w:val="24"/>
              </w:rPr>
            </w:pPr>
            <w:r>
              <w:rPr>
                <w:rFonts w:hint="eastAsia" w:ascii="黑体" w:hAnsi="黑体" w:eastAsia="黑体"/>
                <w:bCs/>
                <w:sz w:val="24"/>
              </w:rPr>
              <w:t>产品名称</w:t>
            </w:r>
          </w:p>
        </w:tc>
        <w:tc>
          <w:tcPr>
            <w:tcW w:w="1849" w:type="dxa"/>
            <w:noWrap w:val="0"/>
            <w:vAlign w:val="center"/>
          </w:tcPr>
          <w:p>
            <w:pPr>
              <w:adjustRightInd w:val="0"/>
              <w:snapToGrid w:val="0"/>
              <w:jc w:val="center"/>
              <w:rPr>
                <w:rFonts w:ascii="黑体" w:hAnsi="黑体" w:eastAsia="黑体"/>
                <w:bCs/>
                <w:sz w:val="24"/>
              </w:rPr>
            </w:pPr>
            <w:r>
              <w:rPr>
                <w:rFonts w:hint="eastAsia" w:ascii="黑体" w:hAnsi="黑体" w:eastAsia="黑体"/>
                <w:bCs/>
                <w:sz w:val="24"/>
              </w:rPr>
              <w:t>型号规格</w:t>
            </w:r>
          </w:p>
        </w:tc>
        <w:tc>
          <w:tcPr>
            <w:tcW w:w="2835" w:type="dxa"/>
            <w:noWrap w:val="0"/>
            <w:vAlign w:val="center"/>
          </w:tcPr>
          <w:p>
            <w:pPr>
              <w:adjustRightInd w:val="0"/>
              <w:snapToGrid w:val="0"/>
              <w:jc w:val="center"/>
              <w:rPr>
                <w:rFonts w:ascii="黑体" w:hAnsi="黑体" w:eastAsia="黑体"/>
                <w:bCs/>
                <w:sz w:val="24"/>
              </w:rPr>
            </w:pPr>
            <w:r>
              <w:rPr>
                <w:rFonts w:hint="eastAsia" w:ascii="黑体" w:hAnsi="黑体" w:eastAsia="黑体"/>
                <w:bCs/>
                <w:sz w:val="24"/>
              </w:rPr>
              <w:t>检验样品</w:t>
            </w:r>
          </w:p>
        </w:tc>
        <w:tc>
          <w:tcPr>
            <w:tcW w:w="2833" w:type="dxa"/>
            <w:noWrap w:val="0"/>
            <w:vAlign w:val="center"/>
          </w:tcPr>
          <w:p>
            <w:pPr>
              <w:adjustRightInd w:val="0"/>
              <w:snapToGrid w:val="0"/>
              <w:jc w:val="center"/>
              <w:rPr>
                <w:rFonts w:ascii="黑体" w:hAnsi="黑体" w:eastAsia="黑体"/>
                <w:bCs/>
                <w:sz w:val="24"/>
              </w:rPr>
            </w:pPr>
            <w:r>
              <w:rPr>
                <w:rFonts w:hint="eastAsia" w:ascii="黑体" w:hAnsi="黑体" w:eastAsia="黑体"/>
                <w:bCs/>
                <w:sz w:val="24"/>
              </w:rPr>
              <w:t>备用样品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674"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1</w:t>
            </w:r>
          </w:p>
        </w:tc>
        <w:tc>
          <w:tcPr>
            <w:tcW w:w="1349" w:type="dxa"/>
            <w:noWrap w:val="0"/>
            <w:vAlign w:val="center"/>
          </w:tcPr>
          <w:p>
            <w:pPr>
              <w:pStyle w:val="9"/>
              <w:spacing w:before="80" w:after="112"/>
              <w:ind w:firstLine="0" w:firstLineChars="0"/>
              <w:rPr>
                <w:sz w:val="24"/>
              </w:rPr>
            </w:pPr>
            <w:r>
              <w:rPr>
                <w:rFonts w:hint="eastAsia"/>
                <w:sz w:val="24"/>
              </w:rPr>
              <w:t>安全帽</w:t>
            </w:r>
          </w:p>
        </w:tc>
        <w:tc>
          <w:tcPr>
            <w:tcW w:w="1849" w:type="dxa"/>
            <w:noWrap w:val="0"/>
            <w:vAlign w:val="center"/>
          </w:tcPr>
          <w:p>
            <w:pPr>
              <w:pStyle w:val="9"/>
              <w:spacing w:before="80" w:after="112"/>
              <w:ind w:firstLine="0" w:firstLineChars="0"/>
              <w:rPr>
                <w:rFonts w:hAnsi="宋体"/>
                <w:bCs w:val="0"/>
                <w:kern w:val="2"/>
                <w:sz w:val="24"/>
              </w:rPr>
            </w:pPr>
            <w:r>
              <w:rPr>
                <w:rFonts w:hint="eastAsia" w:hAnsi="宋体"/>
                <w:bCs w:val="0"/>
                <w:kern w:val="2"/>
                <w:sz w:val="24"/>
              </w:rPr>
              <w:t>普通型</w:t>
            </w:r>
          </w:p>
        </w:tc>
        <w:tc>
          <w:tcPr>
            <w:tcW w:w="2835" w:type="dxa"/>
            <w:noWrap w:val="0"/>
            <w:vAlign w:val="center"/>
          </w:tcPr>
          <w:p>
            <w:pPr>
              <w:pStyle w:val="9"/>
              <w:spacing w:before="80" w:after="112"/>
              <w:ind w:firstLine="0" w:firstLineChars="0"/>
              <w:rPr>
                <w:rFonts w:hAnsi="宋体"/>
                <w:bCs w:val="0"/>
                <w:kern w:val="2"/>
                <w:sz w:val="24"/>
              </w:rPr>
            </w:pPr>
            <w:r>
              <w:rPr>
                <w:rFonts w:hint="eastAsia" w:hAnsi="宋体"/>
                <w:bCs w:val="0"/>
                <w:kern w:val="2"/>
                <w:sz w:val="24"/>
              </w:rPr>
              <w:t>6顶</w:t>
            </w:r>
          </w:p>
        </w:tc>
        <w:tc>
          <w:tcPr>
            <w:tcW w:w="2833" w:type="dxa"/>
            <w:noWrap w:val="0"/>
            <w:vAlign w:val="center"/>
          </w:tcPr>
          <w:p>
            <w:pPr>
              <w:pStyle w:val="9"/>
              <w:spacing w:before="80" w:after="112"/>
              <w:ind w:firstLine="0" w:firstLineChars="0"/>
              <w:rPr>
                <w:rFonts w:hAnsi="宋体"/>
                <w:bCs w:val="0"/>
                <w:kern w:val="2"/>
                <w:sz w:val="24"/>
              </w:rPr>
            </w:pPr>
            <w:r>
              <w:rPr>
                <w:rFonts w:hint="eastAsia" w:hAnsi="宋体"/>
                <w:bCs w:val="0"/>
                <w:kern w:val="2"/>
                <w:sz w:val="24"/>
              </w:rPr>
              <w:t>6顶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674"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2</w:t>
            </w:r>
          </w:p>
        </w:tc>
        <w:tc>
          <w:tcPr>
            <w:tcW w:w="1349" w:type="dxa"/>
            <w:noWrap w:val="0"/>
            <w:vAlign w:val="center"/>
          </w:tcPr>
          <w:p>
            <w:pPr>
              <w:pStyle w:val="9"/>
              <w:spacing w:before="80" w:after="112"/>
              <w:ind w:firstLine="0" w:firstLineChars="0"/>
              <w:rPr>
                <w:sz w:val="24"/>
              </w:rPr>
            </w:pPr>
            <w:r>
              <w:rPr>
                <w:rFonts w:hint="eastAsia"/>
                <w:sz w:val="24"/>
              </w:rPr>
              <w:t>安全帽</w:t>
            </w:r>
          </w:p>
        </w:tc>
        <w:tc>
          <w:tcPr>
            <w:tcW w:w="1849" w:type="dxa"/>
            <w:noWrap w:val="0"/>
            <w:vAlign w:val="center"/>
          </w:tcPr>
          <w:p>
            <w:pPr>
              <w:pStyle w:val="9"/>
              <w:spacing w:before="80" w:after="112"/>
              <w:ind w:firstLine="0" w:firstLineChars="0"/>
              <w:rPr>
                <w:rFonts w:hAnsi="宋体"/>
                <w:bCs w:val="0"/>
                <w:kern w:val="2"/>
                <w:sz w:val="24"/>
              </w:rPr>
            </w:pPr>
            <w:r>
              <w:rPr>
                <w:rFonts w:hint="eastAsia" w:hAnsi="宋体"/>
                <w:bCs w:val="0"/>
                <w:kern w:val="2"/>
                <w:sz w:val="24"/>
              </w:rPr>
              <w:t>特殊型（耐低温、阻燃）</w:t>
            </w:r>
          </w:p>
        </w:tc>
        <w:tc>
          <w:tcPr>
            <w:tcW w:w="2835" w:type="dxa"/>
            <w:noWrap w:val="0"/>
            <w:vAlign w:val="center"/>
          </w:tcPr>
          <w:p>
            <w:pPr>
              <w:pStyle w:val="9"/>
              <w:spacing w:before="80" w:after="112"/>
              <w:ind w:firstLine="0" w:firstLineChars="0"/>
              <w:rPr>
                <w:rFonts w:hAnsi="宋体"/>
                <w:bCs w:val="0"/>
                <w:kern w:val="2"/>
                <w:sz w:val="24"/>
              </w:rPr>
            </w:pPr>
            <w:r>
              <w:rPr>
                <w:rFonts w:hint="eastAsia" w:hAnsi="宋体"/>
                <w:bCs w:val="0"/>
                <w:kern w:val="2"/>
                <w:sz w:val="24"/>
              </w:rPr>
              <w:t>6顶</w:t>
            </w:r>
          </w:p>
        </w:tc>
        <w:tc>
          <w:tcPr>
            <w:tcW w:w="2833" w:type="dxa"/>
            <w:noWrap w:val="0"/>
            <w:vAlign w:val="center"/>
          </w:tcPr>
          <w:p>
            <w:pPr>
              <w:pStyle w:val="9"/>
              <w:spacing w:before="80" w:after="112"/>
              <w:ind w:firstLine="0" w:firstLineChars="0"/>
              <w:rPr>
                <w:rFonts w:hAnsi="宋体"/>
                <w:bCs w:val="0"/>
                <w:kern w:val="2"/>
                <w:sz w:val="24"/>
              </w:rPr>
            </w:pPr>
            <w:r>
              <w:rPr>
                <w:rFonts w:hint="eastAsia" w:hAnsi="宋体"/>
                <w:bCs w:val="0"/>
                <w:kern w:val="2"/>
                <w:sz w:val="24"/>
              </w:rPr>
              <w:t>6顶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674"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3</w:t>
            </w:r>
          </w:p>
        </w:tc>
        <w:tc>
          <w:tcPr>
            <w:tcW w:w="1349" w:type="dxa"/>
            <w:noWrap w:val="0"/>
            <w:vAlign w:val="center"/>
          </w:tcPr>
          <w:p>
            <w:pPr>
              <w:pStyle w:val="9"/>
              <w:spacing w:before="80" w:after="112"/>
              <w:ind w:firstLine="0" w:firstLineChars="0"/>
              <w:rPr>
                <w:sz w:val="24"/>
              </w:rPr>
            </w:pPr>
            <w:r>
              <w:rPr>
                <w:rFonts w:hint="eastAsia"/>
                <w:sz w:val="24"/>
              </w:rPr>
              <w:t>安全帽</w:t>
            </w:r>
          </w:p>
        </w:tc>
        <w:tc>
          <w:tcPr>
            <w:tcW w:w="1849" w:type="dxa"/>
            <w:noWrap w:val="0"/>
            <w:vAlign w:val="center"/>
          </w:tcPr>
          <w:p>
            <w:pPr>
              <w:pStyle w:val="9"/>
              <w:spacing w:before="80" w:after="112"/>
              <w:ind w:firstLine="0" w:firstLineChars="0"/>
              <w:rPr>
                <w:rFonts w:hAnsi="宋体"/>
                <w:bCs w:val="0"/>
                <w:kern w:val="2"/>
                <w:sz w:val="24"/>
              </w:rPr>
            </w:pPr>
            <w:r>
              <w:rPr>
                <w:rFonts w:hint="eastAsia" w:hAnsi="宋体"/>
                <w:bCs w:val="0"/>
                <w:kern w:val="2"/>
                <w:sz w:val="24"/>
              </w:rPr>
              <w:t>特殊型（防静电、电绝缘、侧向刚性）</w:t>
            </w:r>
          </w:p>
        </w:tc>
        <w:tc>
          <w:tcPr>
            <w:tcW w:w="2835" w:type="dxa"/>
            <w:noWrap w:val="0"/>
            <w:vAlign w:val="center"/>
          </w:tcPr>
          <w:p>
            <w:pPr>
              <w:pStyle w:val="9"/>
              <w:spacing w:before="80" w:after="112"/>
              <w:ind w:firstLine="0" w:firstLineChars="0"/>
              <w:rPr>
                <w:rFonts w:hAnsi="宋体"/>
                <w:bCs w:val="0"/>
                <w:kern w:val="2"/>
                <w:sz w:val="24"/>
              </w:rPr>
            </w:pPr>
            <w:r>
              <w:rPr>
                <w:rFonts w:hint="eastAsia" w:hAnsi="宋体"/>
                <w:bCs w:val="0"/>
                <w:kern w:val="2"/>
                <w:sz w:val="24"/>
              </w:rPr>
              <w:t>在6顶的基础上，每增加1项特殊性能再增加1顶检验样品。</w:t>
            </w:r>
          </w:p>
        </w:tc>
        <w:tc>
          <w:tcPr>
            <w:tcW w:w="2833" w:type="dxa"/>
            <w:noWrap w:val="0"/>
            <w:vAlign w:val="center"/>
          </w:tcPr>
          <w:p>
            <w:pPr>
              <w:pStyle w:val="9"/>
              <w:spacing w:before="80" w:after="112"/>
              <w:ind w:firstLine="0" w:firstLineChars="0"/>
              <w:rPr>
                <w:rFonts w:hAnsi="宋体"/>
                <w:bCs w:val="0"/>
                <w:kern w:val="2"/>
                <w:sz w:val="24"/>
              </w:rPr>
            </w:pPr>
            <w:r>
              <w:rPr>
                <w:rFonts w:hint="eastAsia" w:hAnsi="宋体"/>
                <w:bCs w:val="0"/>
                <w:kern w:val="2"/>
                <w:sz w:val="24"/>
              </w:rPr>
              <w:t>在6顶的基础上，每增加1项特殊性能再增加1顶备用样品。</w:t>
            </w:r>
          </w:p>
        </w:tc>
      </w:tr>
    </w:tbl>
    <w:p>
      <w:pPr>
        <w:snapToGrid w:val="0"/>
        <w:spacing w:line="360" w:lineRule="auto"/>
        <w:ind w:firstLine="560" w:firstLineChars="200"/>
        <w:rPr>
          <w:rFonts w:ascii="仿宋_GB2312" w:hAnsi="宋体" w:eastAsia="仿宋_GB2312"/>
          <w:sz w:val="28"/>
          <w:szCs w:val="28"/>
        </w:rPr>
      </w:pPr>
    </w:p>
    <w:p>
      <w:pPr>
        <w:pStyle w:val="4"/>
      </w:pPr>
      <w:r>
        <w:rPr>
          <w:rFonts w:hint="eastAsia"/>
        </w:rPr>
        <w:t>5</w:t>
      </w:r>
      <w:r>
        <w:t xml:space="preserve">.5 </w:t>
      </w:r>
      <w:r>
        <w:rPr>
          <w:rFonts w:hint="eastAsia"/>
        </w:rPr>
        <w:t>取样要求</w:t>
      </w:r>
    </w:p>
    <w:p>
      <w:pPr>
        <w:pStyle w:val="4"/>
      </w:pPr>
      <w:r>
        <w:rPr>
          <w:rFonts w:hint="eastAsia"/>
        </w:rPr>
        <w:t>5.5 取样要求</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.5.1</w:t>
      </w:r>
      <w:r>
        <w:rPr>
          <w:rFonts w:hint="eastAsia" w:ascii="仿宋_GB2312" w:eastAsia="仿宋_GB2312"/>
          <w:sz w:val="28"/>
          <w:szCs w:val="28"/>
        </w:rPr>
        <w:t xml:space="preserve"> 样品应当由抽样人员在被抽样生产者、销售者的代销产品中随机抽取，不得由被抽样生产者、销售者自行抽样。</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.5.2</w:t>
      </w:r>
      <w:r>
        <w:rPr>
          <w:rFonts w:hint="eastAsia" w:ascii="仿宋_GB2312"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.5.3</w:t>
      </w:r>
      <w:r>
        <w:rPr>
          <w:rFonts w:hint="eastAsia" w:ascii="仿宋_GB2312" w:eastAsia="仿宋_GB2312"/>
          <w:sz w:val="28"/>
          <w:szCs w:val="28"/>
        </w:rPr>
        <w:t xml:space="preserve"> 抽样时应一并抽取产品的配件、赠品等。</w:t>
      </w:r>
    </w:p>
    <w:p>
      <w:pPr>
        <w:pStyle w:val="4"/>
      </w:pPr>
      <w:r>
        <w:rPr>
          <w:rFonts w:hint="eastAsia"/>
        </w:rPr>
        <w:t>5</w:t>
      </w:r>
      <w:r>
        <w:t xml:space="preserve">.6 </w:t>
      </w:r>
      <w:r>
        <w:rPr>
          <w:rFonts w:hint="eastAsia"/>
        </w:rPr>
        <w:t>样品处置</w:t>
      </w:r>
    </w:p>
    <w:p>
      <w:pPr>
        <w:snapToGrid w:val="0"/>
        <w:spacing w:line="600" w:lineRule="exact"/>
        <w:rPr>
          <w:rFonts w:ascii="仿宋_GB2312" w:hAnsi="宋体" w:eastAsia="仿宋_GB2312"/>
          <w:sz w:val="28"/>
          <w:szCs w:val="28"/>
        </w:rPr>
      </w:pPr>
      <w:r>
        <w:rPr>
          <w:rFonts w:hint="eastAsia" w:ascii="仿宋_GB2312" w:hAnsi="ˎ̥" w:eastAsia="仿宋_GB2312"/>
          <w:b/>
          <w:sz w:val="28"/>
          <w:szCs w:val="28"/>
        </w:rPr>
        <w:t>5.</w:t>
      </w:r>
      <w:r>
        <w:rPr>
          <w:rFonts w:ascii="仿宋_GB2312" w:hAnsi="ˎ̥" w:eastAsia="仿宋_GB2312"/>
          <w:b/>
          <w:sz w:val="28"/>
          <w:szCs w:val="28"/>
        </w:rPr>
        <w:t>6</w:t>
      </w:r>
      <w:r>
        <w:rPr>
          <w:rFonts w:hint="eastAsia" w:ascii="仿宋_GB2312" w:hAnsi="ˎ̥" w:eastAsia="仿宋_GB2312"/>
          <w:b/>
          <w:sz w:val="28"/>
          <w:szCs w:val="28"/>
        </w:rPr>
        <w:t>.1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600" w:lineRule="exact"/>
        <w:rPr>
          <w:rFonts w:ascii="仿宋_GB2312" w:eastAsia="仿宋_GB2312"/>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pStyle w:val="4"/>
      </w:pPr>
      <w:r>
        <w:rPr>
          <w:rFonts w:hint="eastAsia"/>
        </w:rPr>
        <w:t>5.</w:t>
      </w:r>
      <w:r>
        <w:t>7</w:t>
      </w:r>
      <w:r>
        <w:rPr>
          <w:rFonts w:hint="eastAsia"/>
        </w:rPr>
        <w:t xml:space="preserve"> 抽样单</w:t>
      </w:r>
    </w:p>
    <w:p>
      <w:pPr>
        <w:snapToGrid w:val="0"/>
        <w:spacing w:line="60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
      <w:pPr>
        <w:pStyle w:val="3"/>
      </w:pPr>
      <w:r>
        <w:rPr>
          <w:rFonts w:hint="eastAsia"/>
        </w:rPr>
        <w:t>6 检验要求</w:t>
      </w:r>
    </w:p>
    <w:p>
      <w:pPr>
        <w:pStyle w:val="4"/>
      </w:pPr>
      <w:r>
        <w:rPr>
          <w:rFonts w:hint="eastAsia"/>
        </w:rPr>
        <w:t>6.1 检验项目</w:t>
      </w:r>
    </w:p>
    <w:tbl>
      <w:tblPr>
        <w:tblStyle w:val="5"/>
        <w:tblW w:w="922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8"/>
        <w:gridCol w:w="2226"/>
        <w:gridCol w:w="1844"/>
        <w:gridCol w:w="1131"/>
        <w:gridCol w:w="2296"/>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8"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序号</w:t>
            </w:r>
          </w:p>
        </w:tc>
        <w:tc>
          <w:tcPr>
            <w:tcW w:w="222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1844"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131"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29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1012"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w:t>
            </w:r>
          </w:p>
        </w:tc>
        <w:tc>
          <w:tcPr>
            <w:tcW w:w="2226" w:type="dxa"/>
            <w:tcBorders>
              <w:top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佩戴高度</w:t>
            </w:r>
          </w:p>
        </w:tc>
        <w:tc>
          <w:tcPr>
            <w:tcW w:w="1844" w:type="dxa"/>
            <w:tcBorders>
              <w:top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 4.1.11</w:t>
            </w:r>
          </w:p>
        </w:tc>
        <w:tc>
          <w:tcPr>
            <w:tcW w:w="1131" w:type="dxa"/>
            <w:tcBorders>
              <w:top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96" w:type="dxa"/>
            <w:tcBorders>
              <w:top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GB/T 2812-2006 4.1</w:t>
            </w:r>
          </w:p>
        </w:tc>
        <w:tc>
          <w:tcPr>
            <w:tcW w:w="1012" w:type="dxa"/>
            <w:tcBorders>
              <w:top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w:t>
            </w:r>
          </w:p>
        </w:tc>
        <w:tc>
          <w:tcPr>
            <w:tcW w:w="2226" w:type="dxa"/>
            <w:tcBorders>
              <w:top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垂直间距</w:t>
            </w:r>
          </w:p>
        </w:tc>
        <w:tc>
          <w:tcPr>
            <w:tcW w:w="1844" w:type="dxa"/>
            <w:tcBorders>
              <w:top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 4.1.12</w:t>
            </w:r>
          </w:p>
        </w:tc>
        <w:tc>
          <w:tcPr>
            <w:tcW w:w="1131" w:type="dxa"/>
            <w:tcBorders>
              <w:top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96" w:type="dxa"/>
            <w:tcBorders>
              <w:top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GB/T 2812-2006 4.2</w:t>
            </w:r>
          </w:p>
        </w:tc>
        <w:tc>
          <w:tcPr>
            <w:tcW w:w="1012" w:type="dxa"/>
            <w:tcBorders>
              <w:top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3</w:t>
            </w:r>
          </w:p>
        </w:tc>
        <w:tc>
          <w:tcPr>
            <w:tcW w:w="2226" w:type="dxa"/>
            <w:tcBorders>
              <w:top w:val="single" w:color="auto" w:sz="2"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高温（50℃）处理后冲击吸收性能</w:t>
            </w:r>
          </w:p>
        </w:tc>
        <w:tc>
          <w:tcPr>
            <w:tcW w:w="1844" w:type="dxa"/>
            <w:tcBorders>
              <w:top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 xml:space="preserve"> 4.2.1</w:t>
            </w:r>
          </w:p>
        </w:tc>
        <w:tc>
          <w:tcPr>
            <w:tcW w:w="1131" w:type="dxa"/>
            <w:tcBorders>
              <w:top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96" w:type="dxa"/>
            <w:tcBorders>
              <w:top w:val="single" w:color="auto" w:sz="2"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4.3</w:t>
            </w:r>
          </w:p>
        </w:tc>
        <w:tc>
          <w:tcPr>
            <w:tcW w:w="1012" w:type="dxa"/>
            <w:tcBorders>
              <w:top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4</w:t>
            </w:r>
          </w:p>
        </w:tc>
        <w:tc>
          <w:tcPr>
            <w:tcW w:w="2226" w:type="dxa"/>
            <w:tcBorders>
              <w:top w:val="single" w:color="auto" w:sz="2"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低温（-10℃）处理后冲击吸收性能</w:t>
            </w:r>
          </w:p>
        </w:tc>
        <w:tc>
          <w:tcPr>
            <w:tcW w:w="1844" w:type="dxa"/>
            <w:tcBorders>
              <w:top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4.2.1</w:t>
            </w:r>
          </w:p>
        </w:tc>
        <w:tc>
          <w:tcPr>
            <w:tcW w:w="1131" w:type="dxa"/>
            <w:tcBorders>
              <w:top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96" w:type="dxa"/>
            <w:tcBorders>
              <w:top w:val="single" w:color="auto" w:sz="2"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4.3</w:t>
            </w:r>
          </w:p>
        </w:tc>
        <w:tc>
          <w:tcPr>
            <w:tcW w:w="1012" w:type="dxa"/>
            <w:tcBorders>
              <w:top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5</w:t>
            </w:r>
          </w:p>
        </w:tc>
        <w:tc>
          <w:tcPr>
            <w:tcW w:w="2226" w:type="dxa"/>
            <w:tcBorders>
              <w:top w:val="single" w:color="auto" w:sz="2" w:space="0"/>
              <w:bottom w:val="single" w:color="auto" w:sz="2"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浸水处理后冲击吸收性能</w:t>
            </w:r>
          </w:p>
        </w:tc>
        <w:tc>
          <w:tcPr>
            <w:tcW w:w="1844"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4.2.1</w:t>
            </w:r>
          </w:p>
        </w:tc>
        <w:tc>
          <w:tcPr>
            <w:tcW w:w="1131" w:type="dxa"/>
            <w:tcBorders>
              <w:top w:val="single" w:color="auto" w:sz="2" w:space="0"/>
              <w:bottom w:val="single" w:color="auto" w:sz="2" w:space="0"/>
            </w:tcBorders>
            <w:noWrap w:val="0"/>
            <w:vAlign w:val="center"/>
          </w:tcPr>
          <w:p>
            <w:pPr>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4.3</w:t>
            </w:r>
          </w:p>
        </w:tc>
        <w:tc>
          <w:tcPr>
            <w:tcW w:w="1012"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6</w:t>
            </w:r>
          </w:p>
        </w:tc>
        <w:tc>
          <w:tcPr>
            <w:tcW w:w="2226" w:type="dxa"/>
            <w:tcBorders>
              <w:top w:val="single" w:color="auto" w:sz="2" w:space="0"/>
              <w:bottom w:val="single" w:color="auto" w:sz="2"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高温（50℃）处理后耐穿刺性能</w:t>
            </w:r>
          </w:p>
        </w:tc>
        <w:tc>
          <w:tcPr>
            <w:tcW w:w="1844"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4.2.2</w:t>
            </w:r>
          </w:p>
        </w:tc>
        <w:tc>
          <w:tcPr>
            <w:tcW w:w="1131"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4.4</w:t>
            </w:r>
          </w:p>
        </w:tc>
        <w:tc>
          <w:tcPr>
            <w:tcW w:w="1012"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7</w:t>
            </w:r>
          </w:p>
        </w:tc>
        <w:tc>
          <w:tcPr>
            <w:tcW w:w="2226" w:type="dxa"/>
            <w:tcBorders>
              <w:top w:val="single" w:color="auto" w:sz="2" w:space="0"/>
              <w:bottom w:val="single" w:color="auto" w:sz="2"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低温（-10℃）处理后耐穿刺性能</w:t>
            </w:r>
          </w:p>
        </w:tc>
        <w:tc>
          <w:tcPr>
            <w:tcW w:w="1844"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4.2.2</w:t>
            </w:r>
          </w:p>
        </w:tc>
        <w:tc>
          <w:tcPr>
            <w:tcW w:w="1131"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4.4</w:t>
            </w:r>
          </w:p>
        </w:tc>
        <w:tc>
          <w:tcPr>
            <w:tcW w:w="1012"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8</w:t>
            </w:r>
          </w:p>
        </w:tc>
        <w:tc>
          <w:tcPr>
            <w:tcW w:w="2226" w:type="dxa"/>
            <w:tcBorders>
              <w:top w:val="single" w:color="auto" w:sz="2" w:space="0"/>
              <w:bottom w:val="single" w:color="auto" w:sz="2"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浸水处理后耐穿刺性能</w:t>
            </w:r>
          </w:p>
        </w:tc>
        <w:tc>
          <w:tcPr>
            <w:tcW w:w="1844"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4.2.2</w:t>
            </w:r>
          </w:p>
        </w:tc>
        <w:tc>
          <w:tcPr>
            <w:tcW w:w="1131" w:type="dxa"/>
            <w:tcBorders>
              <w:top w:val="single" w:color="auto" w:sz="2" w:space="0"/>
              <w:bottom w:val="single" w:color="auto" w:sz="2" w:space="0"/>
            </w:tcBorders>
            <w:noWrap w:val="0"/>
            <w:vAlign w:val="center"/>
          </w:tcPr>
          <w:p>
            <w:pPr>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4.4</w:t>
            </w:r>
          </w:p>
        </w:tc>
        <w:tc>
          <w:tcPr>
            <w:tcW w:w="1012"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9</w:t>
            </w:r>
          </w:p>
        </w:tc>
        <w:tc>
          <w:tcPr>
            <w:tcW w:w="2226"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下颏带的强度</w:t>
            </w:r>
          </w:p>
        </w:tc>
        <w:tc>
          <w:tcPr>
            <w:tcW w:w="1844"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 4.2.3</w:t>
            </w:r>
          </w:p>
        </w:tc>
        <w:tc>
          <w:tcPr>
            <w:tcW w:w="1131" w:type="dxa"/>
            <w:tcBorders>
              <w:top w:val="single" w:color="auto" w:sz="2" w:space="0"/>
              <w:bottom w:val="single" w:color="auto" w:sz="2" w:space="0"/>
            </w:tcBorders>
            <w:noWrap w:val="0"/>
            <w:vAlign w:val="center"/>
          </w:tcPr>
          <w:p>
            <w:pPr>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4.5</w:t>
            </w:r>
          </w:p>
        </w:tc>
        <w:tc>
          <w:tcPr>
            <w:tcW w:w="1012"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10</w:t>
            </w:r>
          </w:p>
        </w:tc>
        <w:tc>
          <w:tcPr>
            <w:tcW w:w="2226"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防静电性能</w:t>
            </w:r>
          </w:p>
        </w:tc>
        <w:tc>
          <w:tcPr>
            <w:tcW w:w="1844"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4.3.1</w:t>
            </w:r>
          </w:p>
        </w:tc>
        <w:tc>
          <w:tcPr>
            <w:tcW w:w="1131" w:type="dxa"/>
            <w:tcBorders>
              <w:top w:val="single" w:color="auto" w:sz="2" w:space="0"/>
              <w:bottom w:val="single" w:color="auto" w:sz="2" w:space="0"/>
            </w:tcBorders>
            <w:noWrap w:val="0"/>
            <w:vAlign w:val="center"/>
          </w:tcPr>
          <w:p>
            <w:pPr>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4.6</w:t>
            </w:r>
          </w:p>
        </w:tc>
        <w:tc>
          <w:tcPr>
            <w:tcW w:w="1012"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11</w:t>
            </w:r>
          </w:p>
        </w:tc>
        <w:tc>
          <w:tcPr>
            <w:tcW w:w="2226"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电绝缘性能</w:t>
            </w:r>
          </w:p>
        </w:tc>
        <w:tc>
          <w:tcPr>
            <w:tcW w:w="1844"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4.3.2</w:t>
            </w:r>
          </w:p>
        </w:tc>
        <w:tc>
          <w:tcPr>
            <w:tcW w:w="1131" w:type="dxa"/>
            <w:tcBorders>
              <w:top w:val="single" w:color="auto" w:sz="2" w:space="0"/>
              <w:bottom w:val="single" w:color="auto" w:sz="2" w:space="0"/>
            </w:tcBorders>
            <w:noWrap w:val="0"/>
            <w:vAlign w:val="center"/>
          </w:tcPr>
          <w:p>
            <w:pPr>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4.7</w:t>
            </w:r>
          </w:p>
        </w:tc>
        <w:tc>
          <w:tcPr>
            <w:tcW w:w="1012"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12</w:t>
            </w:r>
          </w:p>
        </w:tc>
        <w:tc>
          <w:tcPr>
            <w:tcW w:w="2226"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侧向刚性</w:t>
            </w:r>
          </w:p>
        </w:tc>
        <w:tc>
          <w:tcPr>
            <w:tcW w:w="1844"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4.3.3</w:t>
            </w:r>
          </w:p>
        </w:tc>
        <w:tc>
          <w:tcPr>
            <w:tcW w:w="1131" w:type="dxa"/>
            <w:tcBorders>
              <w:top w:val="single" w:color="auto" w:sz="2" w:space="0"/>
              <w:bottom w:val="single" w:color="auto" w:sz="2" w:space="0"/>
            </w:tcBorders>
            <w:noWrap w:val="0"/>
            <w:vAlign w:val="center"/>
          </w:tcPr>
          <w:p>
            <w:pPr>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4.8</w:t>
            </w:r>
          </w:p>
        </w:tc>
        <w:tc>
          <w:tcPr>
            <w:tcW w:w="1012"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13</w:t>
            </w:r>
          </w:p>
        </w:tc>
        <w:tc>
          <w:tcPr>
            <w:tcW w:w="2226"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阻燃性能</w:t>
            </w:r>
          </w:p>
        </w:tc>
        <w:tc>
          <w:tcPr>
            <w:tcW w:w="1844"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4.3.4</w:t>
            </w:r>
          </w:p>
        </w:tc>
        <w:tc>
          <w:tcPr>
            <w:tcW w:w="1131" w:type="dxa"/>
            <w:tcBorders>
              <w:top w:val="single" w:color="auto" w:sz="2" w:space="0"/>
              <w:bottom w:val="single" w:color="auto" w:sz="2" w:space="0"/>
            </w:tcBorders>
            <w:noWrap w:val="0"/>
            <w:vAlign w:val="center"/>
          </w:tcPr>
          <w:p>
            <w:pPr>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4.9</w:t>
            </w:r>
          </w:p>
        </w:tc>
        <w:tc>
          <w:tcPr>
            <w:tcW w:w="1012"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14</w:t>
            </w:r>
          </w:p>
        </w:tc>
        <w:tc>
          <w:tcPr>
            <w:tcW w:w="2226"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耐低温性能</w:t>
            </w:r>
          </w:p>
        </w:tc>
        <w:tc>
          <w:tcPr>
            <w:tcW w:w="1844"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4.3.5</w:t>
            </w:r>
          </w:p>
        </w:tc>
        <w:tc>
          <w:tcPr>
            <w:tcW w:w="1131" w:type="dxa"/>
            <w:tcBorders>
              <w:top w:val="single" w:color="auto" w:sz="2" w:space="0"/>
              <w:bottom w:val="single" w:color="auto" w:sz="2" w:space="0"/>
            </w:tcBorders>
            <w:noWrap w:val="0"/>
            <w:vAlign w:val="center"/>
          </w:tcPr>
          <w:p>
            <w:pPr>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4.3、4.4</w:t>
            </w:r>
          </w:p>
        </w:tc>
        <w:tc>
          <w:tcPr>
            <w:tcW w:w="1012"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15</w:t>
            </w:r>
          </w:p>
        </w:tc>
        <w:tc>
          <w:tcPr>
            <w:tcW w:w="2226"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永久标识</w:t>
            </w:r>
          </w:p>
        </w:tc>
        <w:tc>
          <w:tcPr>
            <w:tcW w:w="1844"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6.1</w:t>
            </w:r>
          </w:p>
        </w:tc>
        <w:tc>
          <w:tcPr>
            <w:tcW w:w="1131" w:type="dxa"/>
            <w:tcBorders>
              <w:top w:val="single" w:color="auto" w:sz="2" w:space="0"/>
              <w:bottom w:val="single" w:color="auto" w:sz="2" w:space="0"/>
            </w:tcBorders>
            <w:noWrap w:val="0"/>
            <w:vAlign w:val="center"/>
          </w:tcPr>
          <w:p>
            <w:pPr>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6.1</w:t>
            </w:r>
          </w:p>
        </w:tc>
        <w:tc>
          <w:tcPr>
            <w:tcW w:w="1012" w:type="dxa"/>
            <w:tcBorders>
              <w:top w:val="single" w:color="auto" w:sz="2" w:space="0"/>
              <w:bottom w:val="single" w:color="auto" w:sz="2"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9227" w:type="dxa"/>
            <w:gridSpan w:val="6"/>
            <w:tcBorders>
              <w:top w:val="single" w:color="auto" w:sz="2" w:space="0"/>
            </w:tcBorders>
            <w:noWrap w:val="0"/>
            <w:vAlign w:val="center"/>
          </w:tcPr>
          <w:p>
            <w:pPr>
              <w:wordWrap w:val="0"/>
              <w:spacing w:line="360" w:lineRule="auto"/>
              <w:rPr>
                <w:rStyle w:val="7"/>
                <w:rFonts w:ascii="仿宋_GB2312" w:hAnsi="宋体" w:eastAsia="仿宋_GB2312"/>
                <w:sz w:val="24"/>
              </w:rPr>
            </w:pPr>
            <w:r>
              <w:rPr>
                <w:rStyle w:val="7"/>
                <w:rFonts w:hint="eastAsia" w:ascii="仿宋_GB2312" w:hAnsi="宋体" w:eastAsia="仿宋_GB2312"/>
                <w:sz w:val="24"/>
              </w:rPr>
              <w:t>注：</w:t>
            </w:r>
          </w:p>
          <w:p>
            <w:pPr>
              <w:wordWrap w:val="0"/>
              <w:spacing w:line="360" w:lineRule="auto"/>
              <w:rPr>
                <w:rStyle w:val="7"/>
                <w:rFonts w:ascii="仿宋_GB2312" w:hAnsi="宋体" w:eastAsia="仿宋_GB2312"/>
                <w:sz w:val="24"/>
              </w:rPr>
            </w:pPr>
            <w:r>
              <w:rPr>
                <w:rStyle w:val="7"/>
                <w:rFonts w:hint="eastAsia" w:ascii="仿宋_GB2312" w:hAnsi="宋体" w:eastAsia="仿宋_GB2312"/>
                <w:sz w:val="24"/>
              </w:rPr>
              <w:t>1.本次抽查的检验项目均为GB 2811-2007 标准中的强制性项目。</w:t>
            </w:r>
          </w:p>
          <w:p>
            <w:pPr>
              <w:wordWrap w:val="0"/>
              <w:spacing w:line="360" w:lineRule="auto"/>
              <w:rPr>
                <w:rStyle w:val="7"/>
                <w:rFonts w:ascii="仿宋_GB2312" w:hAnsi="宋体" w:eastAsia="仿宋_GB2312"/>
                <w:sz w:val="24"/>
              </w:rPr>
            </w:pPr>
            <w:r>
              <w:rPr>
                <w:rStyle w:val="7"/>
                <w:rFonts w:hint="eastAsia" w:ascii="仿宋_GB2312" w:hAnsi="宋体" w:eastAsia="仿宋_GB2312"/>
                <w:sz w:val="24"/>
              </w:rPr>
              <w:t>2.序号1～9、15的检测项目适用于所有类型的安全帽，序号10～14的检测项目适用于特殊性安全帽。</w:t>
            </w:r>
          </w:p>
        </w:tc>
      </w:tr>
    </w:tbl>
    <w:p>
      <w:pPr>
        <w:snapToGrid w:val="0"/>
        <w:spacing w:line="360" w:lineRule="auto"/>
        <w:rPr>
          <w:rFonts w:ascii="仿宋_GB2312" w:hAnsi="宋体" w:eastAsia="仿宋_GB2312"/>
          <w:b/>
          <w:sz w:val="28"/>
          <w:szCs w:val="28"/>
        </w:rPr>
      </w:pPr>
    </w:p>
    <w:p>
      <w:pPr>
        <w:pStyle w:val="4"/>
        <w:rPr>
          <w:rFonts w:hAnsi="宋体"/>
        </w:rPr>
      </w:pPr>
      <w:r>
        <w:rPr>
          <w:rFonts w:hint="eastAsia"/>
        </w:rPr>
        <w:t>6.</w:t>
      </w:r>
      <w:r>
        <w:t>2</w:t>
      </w:r>
      <w:r>
        <w:rPr>
          <w:rFonts w:hint="eastAsia"/>
        </w:rPr>
        <w:t xml:space="preserve"> 检验应注意的问题</w:t>
      </w:r>
    </w:p>
    <w:p>
      <w:pPr>
        <w:snapToGrid w:val="0"/>
        <w:spacing w:line="360" w:lineRule="auto"/>
        <w:rPr>
          <w:rFonts w:ascii="仿宋_GB2312" w:hAnsi="宋体" w:eastAsia="仿宋_GB2312"/>
          <w:iCs/>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pStyle w:val="3"/>
      </w:pPr>
      <w:r>
        <w:rPr>
          <w:rFonts w:hint="eastAsia"/>
        </w:rPr>
        <w:t>7 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pStyle w:val="3"/>
      </w:pPr>
      <w:r>
        <w:rPr>
          <w:rFonts w:hint="eastAsia"/>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hint="eastAsia" w:ascii="仿宋_GB2312" w:eastAsia="仿宋_GB2312" w:cs="Sim Sun"/>
          <w:iCs/>
          <w:kern w:val="0"/>
          <w:sz w:val="28"/>
          <w:szCs w:val="28"/>
        </w:rPr>
        <w:t>复验</w:t>
      </w:r>
      <w:r>
        <w:rPr>
          <w:rFonts w:ascii="仿宋_GB2312" w:eastAsia="仿宋_GB2312" w:cs="Sim Sun"/>
          <w:iCs/>
          <w:kern w:val="0"/>
          <w:sz w:val="28"/>
          <w:szCs w:val="28"/>
        </w:rPr>
        <w:t>检验人员与初检检验人员不得为同一人。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需对不合格项目复验时，按6.1选择复检样品。当复检结果仍不合格，维持原检验结果不变。当复检结果合格，以复检结果为准。</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8.5</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验</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pStyle w:val="3"/>
      </w:pPr>
      <w:r>
        <w:t>9</w:t>
      </w:r>
      <w:r>
        <w:rPr>
          <w:rFonts w:hint="eastAsia"/>
        </w:rPr>
        <w:t xml:space="preserve"> 附则</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ind w:firstLine="560" w:firstLineChars="200"/>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EF0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qFormat/>
    <w:uiPriority w:val="0"/>
    <w:pPr>
      <w:keepNext/>
      <w:keepLines/>
      <w:spacing w:before="280" w:after="290" w:line="376" w:lineRule="auto"/>
      <w:outlineLvl w:val="4"/>
    </w:pPr>
    <w:rPr>
      <w:rFonts w:ascii="Calibri" w:hAnsi="Calibri" w:eastAsia="黑体"/>
      <w:bCs/>
      <w:sz w:val="28"/>
      <w:szCs w:val="28"/>
    </w:rPr>
  </w:style>
  <w:style w:type="paragraph" w:styleId="3">
    <w:name w:val="heading 6"/>
    <w:basedOn w:val="1"/>
    <w:next w:val="1"/>
    <w:qFormat/>
    <w:uiPriority w:val="0"/>
    <w:pPr>
      <w:keepNext/>
      <w:keepLines/>
      <w:spacing w:before="240" w:after="64" w:line="320" w:lineRule="auto"/>
      <w:outlineLvl w:val="5"/>
    </w:pPr>
    <w:rPr>
      <w:rFonts w:ascii="Cambria" w:hAnsi="Cambria" w:eastAsia="仿宋_GB2312"/>
      <w:b/>
      <w:bCs/>
      <w:sz w:val="28"/>
    </w:rPr>
  </w:style>
  <w:style w:type="paragraph" w:styleId="4">
    <w:name w:val="heading 7"/>
    <w:basedOn w:val="1"/>
    <w:next w:val="1"/>
    <w:link w:val="8"/>
    <w:qFormat/>
    <w:uiPriority w:val="0"/>
    <w:pPr>
      <w:keepNext/>
      <w:keepLines/>
      <w:spacing w:before="240" w:after="64" w:line="600" w:lineRule="exact"/>
      <w:outlineLvl w:val="6"/>
    </w:pPr>
    <w:rPr>
      <w:rFonts w:ascii="Calibri" w:hAnsi="Calibri" w:eastAsia="仿宋_GB2312"/>
      <w:b/>
      <w:bCs/>
      <w:sz w:val="28"/>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标题 7 Char1"/>
    <w:link w:val="4"/>
    <w:qFormat/>
    <w:uiPriority w:val="0"/>
    <w:rPr>
      <w:rFonts w:ascii="Calibri" w:hAnsi="Calibri" w:eastAsia="仿宋_GB2312"/>
      <w:b/>
      <w:bCs/>
      <w:sz w:val="28"/>
    </w:rPr>
  </w:style>
  <w:style w:type="paragraph" w:customStyle="1" w:styleId="9">
    <w:name w:val="公文"/>
    <w:basedOn w:val="1"/>
    <w:qFormat/>
    <w:uiPriority w:val="0"/>
    <w:pPr>
      <w:widowControl/>
      <w:adjustRightInd w:val="0"/>
      <w:snapToGrid w:val="0"/>
      <w:spacing w:beforeLines="25" w:afterLines="35"/>
      <w:ind w:firstLine="200" w:firstLineChars="200"/>
      <w:jc w:val="left"/>
    </w:pPr>
    <w:rPr>
      <w:rFonts w:ascii="仿宋_GB2312" w:eastAsia="仿宋_GB2312"/>
      <w:bCs/>
      <w:kern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2020-05-20T06:24:35Z</dcterms:created>
  <dc:creator>changmy</dc:creator>
  <cp:lastModifiedBy>常孟园</cp:lastModifiedBy>
  <dcterms:modified xsi:type="dcterms:W3CDTF">2020-05-20T06:25:07Z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