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附件1</w:t>
      </w:r>
    </w:p>
    <w:p>
      <w:pPr>
        <w:spacing w:before="234" w:beforeLines="75" w:line="360" w:lineRule="auto"/>
        <w:jc w:val="center"/>
        <w:rPr>
          <w:rFonts w:hint="eastAsia" w:ascii="黑体" w:hAnsi="黑体" w:eastAsia="黑体"/>
          <w:sz w:val="36"/>
          <w:szCs w:val="36"/>
        </w:rPr>
      </w:pPr>
      <w:r>
        <w:rPr>
          <w:rFonts w:hint="eastAsia" w:ascii="黑体" w:hAnsi="黑体" w:eastAsia="黑体"/>
          <w:sz w:val="36"/>
          <w:szCs w:val="36"/>
        </w:rPr>
        <w:t>深圳市市场监督管理局</w:t>
      </w:r>
    </w:p>
    <w:p>
      <w:pPr>
        <w:spacing w:before="234" w:beforeLines="75" w:line="360" w:lineRule="auto"/>
        <w:jc w:val="center"/>
        <w:rPr>
          <w:rFonts w:hint="eastAsia" w:ascii="黑体" w:hAnsi="黑体" w:eastAsia="黑体"/>
          <w:sz w:val="36"/>
          <w:szCs w:val="36"/>
        </w:rPr>
      </w:pPr>
      <w:r>
        <w:rPr>
          <w:rFonts w:hint="eastAsia" w:ascii="黑体" w:hAnsi="黑体" w:eastAsia="黑体"/>
          <w:sz w:val="36"/>
          <w:szCs w:val="36"/>
        </w:rPr>
        <w:t>厨房器具产品质量监督抽查实施规范</w:t>
      </w:r>
    </w:p>
    <w:p>
      <w:pPr>
        <w:spacing w:before="234" w:beforeLines="75" w:line="360" w:lineRule="auto"/>
        <w:jc w:val="center"/>
        <w:rPr>
          <w:rFonts w:hint="eastAsia" w:ascii="黑体" w:hAnsi="黑体" w:eastAsia="黑体"/>
          <w:color w:val="FF0000"/>
          <w:sz w:val="28"/>
        </w:rPr>
      </w:pPr>
      <w:r>
        <w:rPr>
          <w:rFonts w:hint="eastAsia" w:ascii="黑体" w:hAnsi="黑体" w:eastAsia="黑体"/>
          <w:sz w:val="28"/>
        </w:rPr>
        <w:t>编号：CCGF-SZ-181-2020</w:t>
      </w:r>
    </w:p>
    <w:p>
      <w:pPr>
        <w:snapToGrid w:val="0"/>
        <w:spacing w:line="360" w:lineRule="auto"/>
        <w:rPr>
          <w:rFonts w:hint="eastAsia" w:ascii="宋体" w:hAnsi="宋体"/>
          <w:sz w:val="24"/>
        </w:rPr>
      </w:pPr>
    </w:p>
    <w:p>
      <w:pPr>
        <w:snapToGrid w:val="0"/>
        <w:spacing w:line="360" w:lineRule="auto"/>
        <w:rPr>
          <w:rFonts w:hint="eastAsia" w:ascii="仿宋_GB2312" w:hAnsi="宋体" w:eastAsia="仿宋_GB2312"/>
          <w:b/>
          <w:szCs w:val="21"/>
        </w:rPr>
      </w:pPr>
    </w:p>
    <w:p>
      <w:pPr>
        <w:snapToGrid w:val="0"/>
        <w:spacing w:line="360" w:lineRule="auto"/>
        <w:rPr>
          <w:rFonts w:hint="eastAsia"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48" w:firstLineChars="196"/>
        <w:rPr>
          <w:rFonts w:hint="eastAsia" w:ascii="仿宋_GB2312" w:hAnsi="宋体" w:eastAsia="仿宋_GB2312"/>
          <w:sz w:val="28"/>
          <w:szCs w:val="28"/>
        </w:rPr>
      </w:pPr>
      <w:r>
        <w:rPr>
          <w:rFonts w:hint="eastAsia" w:ascii="仿宋_GB2312" w:hAnsi="宋体" w:eastAsia="仿宋_GB2312"/>
          <w:sz w:val="28"/>
          <w:szCs w:val="28"/>
        </w:rPr>
        <w:t>本规范适用于深圳市生产及流通领域厨房器具产品质量监督抽查。监督抽查产品范围适用于：电烹饪器具、液体加热器具、消毒柜、吸油烟机、食品加工器具、微波炉。</w:t>
      </w:r>
    </w:p>
    <w:p>
      <w:pPr>
        <w:snapToGrid w:val="0"/>
        <w:spacing w:line="360" w:lineRule="auto"/>
        <w:ind w:firstLine="548" w:firstLineChars="196"/>
        <w:rPr>
          <w:rFonts w:hint="eastAsia"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hint="eastAsia"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hint="eastAsia" w:ascii="黑体" w:hAnsi="黑体" w:eastAsia="黑体"/>
          <w:sz w:val="28"/>
          <w:szCs w:val="28"/>
        </w:rPr>
      </w:pPr>
      <w:r>
        <w:rPr>
          <w:rFonts w:hint="eastAsia" w:ascii="黑体" w:hAnsi="黑体" w:eastAsia="黑体"/>
          <w:sz w:val="28"/>
          <w:szCs w:val="28"/>
        </w:rPr>
        <w:t>表1  产品种类</w:t>
      </w:r>
    </w:p>
    <w:tbl>
      <w:tblPr>
        <w:tblStyle w:val="2"/>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电烹饪器具</w:t>
            </w:r>
          </w:p>
        </w:tc>
        <w:tc>
          <w:tcPr>
            <w:tcW w:w="63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hAnsi="宋体" w:eastAsia="仿宋_GB2312" w:cs="宋体"/>
                <w:kern w:val="0"/>
                <w:sz w:val="24"/>
              </w:rPr>
            </w:pPr>
            <w:r>
              <w:rPr>
                <w:rFonts w:hint="eastAsia" w:ascii="宋体" w:hAnsi="宋体" w:eastAsia="仿宋_GB2312" w:cs="宋体"/>
                <w:kern w:val="0"/>
                <w:sz w:val="24"/>
              </w:rPr>
              <w:t>电烤箱、华夫饼机、室内烧烤炉、面包机、烤盘、电灶、食物脱水器、辐射烤架、电烤炉、旋转烤架、烤肉叉、面包片烘烤器、多士炉、电磁灶等。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液体加热器具</w:t>
            </w:r>
          </w:p>
        </w:tc>
        <w:tc>
          <w:tcPr>
            <w:tcW w:w="63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仿宋_GB2312" w:eastAsia="仿宋_GB2312" w:cs="宋体"/>
                <w:kern w:val="0"/>
                <w:sz w:val="24"/>
                <w:szCs w:val="21"/>
              </w:rPr>
            </w:pPr>
            <w:r>
              <w:rPr>
                <w:rFonts w:hint="eastAsia" w:ascii="仿宋_GB2312" w:eastAsia="仿宋_GB2312" w:cs="宋体"/>
                <w:kern w:val="0"/>
                <w:sz w:val="24"/>
                <w:szCs w:val="21"/>
              </w:rPr>
              <w:t>电热水壶、电压力锅、自动电饭锅、饮水机、电火锅、咖啡机、煮蛋器、酸奶机、电蒸锅、电炖锅等。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消毒柜</w:t>
            </w:r>
          </w:p>
        </w:tc>
        <w:tc>
          <w:tcPr>
            <w:tcW w:w="63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仿宋_GB2312" w:eastAsia="仿宋_GB2312" w:cs="宋体"/>
                <w:kern w:val="0"/>
                <w:sz w:val="24"/>
                <w:szCs w:val="21"/>
              </w:rPr>
            </w:pPr>
            <w:r>
              <w:rPr>
                <w:rFonts w:hint="eastAsia" w:ascii="仿宋_GB2312" w:eastAsia="仿宋_GB2312" w:cs="宋体"/>
                <w:kern w:val="0"/>
                <w:sz w:val="24"/>
                <w:szCs w:val="21"/>
              </w:rPr>
              <w:t>电热食具消毒柜、臭氧食具消毒柜、嵌入式食具消毒柜、立式食具消毒柜等。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吸油烟机</w:t>
            </w:r>
          </w:p>
        </w:tc>
        <w:tc>
          <w:tcPr>
            <w:tcW w:w="63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仿宋_GB2312" w:eastAsia="仿宋_GB2312" w:cs="宋体"/>
                <w:kern w:val="0"/>
                <w:sz w:val="24"/>
                <w:szCs w:val="21"/>
              </w:rPr>
            </w:pPr>
            <w:r>
              <w:rPr>
                <w:rFonts w:hint="eastAsia" w:ascii="仿宋_GB2312" w:eastAsia="仿宋_GB2312" w:cs="宋体"/>
                <w:kern w:val="0"/>
                <w:sz w:val="24"/>
                <w:szCs w:val="21"/>
              </w:rPr>
              <w:t>欧式吸油烟机、侧吸式吸油烟机、中式吸油烟机等。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9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食品加工器具</w:t>
            </w:r>
          </w:p>
        </w:tc>
        <w:tc>
          <w:tcPr>
            <w:tcW w:w="63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仿宋_GB2312" w:eastAsia="仿宋_GB2312" w:cs="宋体"/>
                <w:kern w:val="0"/>
                <w:sz w:val="24"/>
                <w:szCs w:val="21"/>
              </w:rPr>
            </w:pPr>
            <w:r>
              <w:rPr>
                <w:rFonts w:hint="eastAsia" w:ascii="仿宋_GB2312" w:hAnsi="宋体" w:eastAsia="仿宋_GB2312"/>
                <w:sz w:val="24"/>
                <w:szCs w:val="21"/>
              </w:rPr>
              <w:t>食物混合器、奶油搅打器、打蛋机、搅拌器、筛分器、冰淇淋机、柑桔果汁压榨器、离心取汁器、绞肉机、面条机、果浆汁榨取器、切片机、豆类切片机、土豆剥皮机、磨碎器与切碎器、磨刀器、开罐头器、刀具、食品加工器、漏斗容量不超过500g的咖啡碾碎器、漏斗容量不超过3L的谷类磨碎器、豆浆机、原汁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微波炉</w:t>
            </w:r>
          </w:p>
        </w:tc>
        <w:tc>
          <w:tcPr>
            <w:tcW w:w="63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仿宋_GB2312" w:eastAsia="仿宋_GB2312" w:cs="宋体"/>
                <w:kern w:val="0"/>
                <w:sz w:val="24"/>
                <w:szCs w:val="21"/>
              </w:rPr>
            </w:pPr>
            <w:r>
              <w:rPr>
                <w:rFonts w:hint="eastAsia" w:ascii="仿宋_GB2312" w:eastAsia="仿宋_GB2312" w:cs="宋体"/>
                <w:kern w:val="0"/>
                <w:sz w:val="24"/>
                <w:szCs w:val="21"/>
              </w:rPr>
              <w:t>机械式旋钮操控微波炉、电子式按键控制微波炉、嵌入式微波炉、台式微波炉、变频微波炉等。</w:t>
            </w:r>
          </w:p>
        </w:tc>
      </w:tr>
    </w:tbl>
    <w:p>
      <w:pPr>
        <w:snapToGrid w:val="0"/>
        <w:spacing w:before="156" w:beforeLines="50" w:line="360" w:lineRule="auto"/>
        <w:rPr>
          <w:rFonts w:hint="eastAsia"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hint="eastAsia" w:ascii="黑体" w:hAnsi="黑体" w:eastAsia="黑体"/>
          <w:sz w:val="28"/>
          <w:szCs w:val="28"/>
        </w:rPr>
      </w:pPr>
      <w:r>
        <w:rPr>
          <w:rFonts w:hint="eastAsia" w:ascii="黑体" w:hAnsi="黑体" w:eastAsia="黑体"/>
          <w:sz w:val="28"/>
          <w:szCs w:val="28"/>
        </w:rPr>
        <w:t>表2 术语和定义</w:t>
      </w:r>
    </w:p>
    <w:tbl>
      <w:tblPr>
        <w:tblStyle w:val="2"/>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电烹饪器具</w:t>
            </w:r>
          </w:p>
        </w:tc>
        <w:tc>
          <w:tcPr>
            <w:tcW w:w="644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ascii="仿宋_GB2312" w:hAnsi="宋体" w:eastAsia="仿宋_GB2312"/>
                <w:sz w:val="24"/>
              </w:rPr>
            </w:pPr>
            <w:r>
              <w:rPr>
                <w:rFonts w:hint="eastAsia" w:ascii="仿宋_GB2312" w:eastAsia="仿宋_GB2312" w:cs="宋体"/>
                <w:kern w:val="0"/>
                <w:sz w:val="24"/>
              </w:rPr>
              <w:t>额定电压不超过250V家用的具有烘、烤、炙（烧）等烹调功能的便携式电器，额定电压不超过250V家用驻立式电灶、灶台、烤箱及类似用途器具，额定电压不超过250V的家用和类似用途的便携式电磁灶。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液体加热器具</w:t>
            </w:r>
          </w:p>
        </w:tc>
        <w:tc>
          <w:tcPr>
            <w:tcW w:w="644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ascii="仿宋_GB2312" w:hAnsi="宋体" w:eastAsia="仿宋_GB2312"/>
                <w:sz w:val="24"/>
              </w:rPr>
            </w:pPr>
            <w:r>
              <w:rPr>
                <w:rFonts w:hint="eastAsia" w:ascii="仿宋_GB2312" w:eastAsia="仿宋_GB2312" w:cs="宋体"/>
                <w:kern w:val="0"/>
                <w:sz w:val="24"/>
              </w:rPr>
              <w:t>额定电压不超过250V的家用和类似用途液体加热器</w:t>
            </w:r>
            <w:r>
              <w:rPr>
                <w:rFonts w:hint="eastAsia" w:ascii="仿宋_GB2312" w:hAnsi="宋体" w:eastAsia="仿宋_GB2312"/>
                <w:sz w:val="24"/>
                <w:szCs w:val="21"/>
              </w:rPr>
              <w:t>具</w:t>
            </w:r>
            <w:r>
              <w:rPr>
                <w:rFonts w:hint="eastAsia" w:ascii="仿宋_GB2312" w:eastAsia="仿宋_GB2312" w:cs="宋体"/>
                <w:kern w:val="0"/>
                <w:sz w:val="24"/>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消毒柜</w:t>
            </w:r>
          </w:p>
        </w:tc>
        <w:tc>
          <w:tcPr>
            <w:tcW w:w="644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ascii="仿宋_GB2312" w:eastAsia="仿宋_GB2312" w:cs="宋体"/>
                <w:kern w:val="0"/>
                <w:sz w:val="24"/>
              </w:rPr>
            </w:pPr>
            <w:r>
              <w:rPr>
                <w:rFonts w:hint="eastAsia" w:ascii="仿宋_GB2312" w:eastAsia="仿宋_GB2312" w:cs="宋体"/>
                <w:kern w:val="0"/>
                <w:sz w:val="24"/>
              </w:rPr>
              <w:t>额定电压不超过250V家用和类似用途以电能作为主要能源的电热方式、臭氧方式、紫外线辐射（只能作为辅助）方式以及上述这几种消毒方式相互组合的食品消毒柜。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吸油烟机</w:t>
            </w:r>
          </w:p>
        </w:tc>
        <w:tc>
          <w:tcPr>
            <w:tcW w:w="644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ascii="仿宋_GB2312" w:eastAsia="仿宋_GB2312" w:cs="宋体"/>
                <w:kern w:val="0"/>
                <w:sz w:val="24"/>
              </w:rPr>
            </w:pPr>
            <w:r>
              <w:rPr>
                <w:rFonts w:hint="eastAsia" w:ascii="仿宋_GB2312" w:eastAsia="仿宋_GB2312" w:cs="宋体"/>
                <w:kern w:val="0"/>
                <w:sz w:val="24"/>
              </w:rPr>
              <w:t>额定电压不超过250V安装在家用烹调炉具、炉灶或类似用途器具上部的电动吸油烟机。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食品加工器具</w:t>
            </w:r>
          </w:p>
        </w:tc>
        <w:tc>
          <w:tcPr>
            <w:tcW w:w="644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ascii="仿宋_GB2312" w:eastAsia="仿宋_GB2312" w:cs="宋体"/>
                <w:kern w:val="0"/>
                <w:sz w:val="24"/>
              </w:rPr>
            </w:pPr>
            <w:r>
              <w:rPr>
                <w:rFonts w:hint="eastAsia" w:ascii="仿宋_GB2312" w:eastAsia="仿宋_GB2312" w:cs="宋体"/>
                <w:kern w:val="0"/>
                <w:sz w:val="24"/>
              </w:rPr>
              <w:t>额定电压不超过250V的家用和类似用途电动厨房机械产品。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微波炉</w:t>
            </w:r>
          </w:p>
        </w:tc>
        <w:tc>
          <w:tcPr>
            <w:tcW w:w="644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ascii="仿宋_GB2312" w:eastAsia="仿宋_GB2312" w:cs="宋体"/>
                <w:kern w:val="0"/>
                <w:sz w:val="24"/>
              </w:rPr>
            </w:pPr>
            <w:r>
              <w:rPr>
                <w:rFonts w:hint="eastAsia" w:ascii="仿宋_GB2312" w:eastAsia="仿宋_GB2312" w:cs="宋体"/>
                <w:kern w:val="0"/>
                <w:sz w:val="24"/>
              </w:rPr>
              <w:t>额定电压不超过250V的家用微波炉。</w:t>
            </w:r>
          </w:p>
        </w:tc>
      </w:tr>
    </w:tbl>
    <w:p>
      <w:pPr>
        <w:snapToGrid w:val="0"/>
        <w:spacing w:before="156" w:beforeLines="50" w:line="360" w:lineRule="auto"/>
        <w:rPr>
          <w:rFonts w:hint="eastAsia" w:ascii="仿宋_GB2312" w:hAnsi="宋体" w:eastAsia="仿宋_GB2312"/>
          <w:b/>
          <w:sz w:val="28"/>
          <w:szCs w:val="28"/>
        </w:rPr>
      </w:pPr>
      <w:r>
        <w:rPr>
          <w:rFonts w:hint="eastAsia" w:ascii="仿宋_GB2312" w:hAnsi="宋体" w:eastAsia="仿宋_GB2312"/>
          <w:b/>
          <w:sz w:val="28"/>
          <w:szCs w:val="28"/>
        </w:rPr>
        <w:t>4 检验依据</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检验依据见表3。</w:t>
      </w:r>
    </w:p>
    <w:p>
      <w:pPr>
        <w:snapToGrid w:val="0"/>
        <w:jc w:val="center"/>
        <w:rPr>
          <w:rFonts w:hint="eastAsia" w:ascii="黑体" w:hAnsi="黑体" w:eastAsia="黑体"/>
          <w:sz w:val="28"/>
          <w:szCs w:val="28"/>
        </w:rPr>
      </w:pPr>
      <w:r>
        <w:rPr>
          <w:rFonts w:hint="eastAsia" w:ascii="黑体" w:hAnsi="黑体" w:eastAsia="黑体"/>
          <w:sz w:val="28"/>
          <w:szCs w:val="28"/>
        </w:rPr>
        <w:t>表3 检验依据</w:t>
      </w:r>
    </w:p>
    <w:tbl>
      <w:tblPr>
        <w:tblStyle w:val="2"/>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4153"/>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1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GB 4706.1-2005</w:t>
            </w:r>
          </w:p>
        </w:tc>
        <w:tc>
          <w:tcPr>
            <w:tcW w:w="41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家用和类似用途电器的安全 第1部分：通用要求</w:t>
            </w:r>
          </w:p>
        </w:tc>
        <w:tc>
          <w:tcPr>
            <w:tcW w:w="27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Calibri"/>
                <w:sz w:val="24"/>
                <w:szCs w:val="21"/>
              </w:rPr>
            </w:pPr>
            <w:r>
              <w:rPr>
                <w:rFonts w:ascii="宋体" w:hAnsi="Calibri"/>
                <w:sz w:val="24"/>
                <w:szCs w:val="21"/>
              </w:rPr>
              <w:sym w:font="Wingdings 2" w:char="0052"/>
            </w:r>
            <w:r>
              <w:rPr>
                <w:rFonts w:hint="eastAsia" w:ascii="仿宋_GB2312" w:hAnsi="宋体" w:eastAsia="仿宋_GB2312"/>
                <w:sz w:val="24"/>
                <w:szCs w:val="21"/>
              </w:rPr>
              <w:t xml:space="preserve">CMA  </w:t>
            </w:r>
            <w:r>
              <w:rPr>
                <w:rFonts w:ascii="宋体" w:hAnsi="Calibri"/>
                <w:sz w:val="24"/>
                <w:szCs w:val="21"/>
              </w:rPr>
              <w:sym w:font="Wingdings 2" w:char="0052"/>
            </w:r>
            <w:r>
              <w:rPr>
                <w:rFonts w:hint="eastAsia" w:ascii="仿宋_GB2312" w:hAnsi="宋体" w:eastAsia="仿宋_GB2312"/>
                <w:sz w:val="24"/>
                <w:szCs w:val="21"/>
              </w:rPr>
              <w:t xml:space="preserve">CAL </w:t>
            </w:r>
            <w:r>
              <w:rPr>
                <w:rFonts w:ascii="宋体" w:hAnsi="Calibri"/>
                <w:sz w:val="24"/>
                <w:szCs w:val="21"/>
              </w:rPr>
              <w:sym w:font="Wingdings 2" w:char="0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GB 4706.14-2008</w:t>
            </w:r>
          </w:p>
        </w:tc>
        <w:tc>
          <w:tcPr>
            <w:tcW w:w="41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家用和类似用途电器的安全 烤架、面包片烘烤器及类似用途便携式烹饪器具的特殊要求</w:t>
            </w:r>
          </w:p>
        </w:tc>
        <w:tc>
          <w:tcPr>
            <w:tcW w:w="27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Calibri"/>
                <w:sz w:val="24"/>
                <w:szCs w:val="21"/>
              </w:rPr>
            </w:pPr>
            <w:r>
              <w:rPr>
                <w:rFonts w:ascii="宋体" w:hAnsi="Calibri"/>
                <w:sz w:val="24"/>
                <w:szCs w:val="21"/>
              </w:rPr>
              <w:sym w:font="Wingdings 2" w:char="0052"/>
            </w:r>
            <w:r>
              <w:rPr>
                <w:rFonts w:hint="eastAsia" w:ascii="仿宋_GB2312" w:hAnsi="宋体" w:eastAsia="仿宋_GB2312"/>
                <w:sz w:val="24"/>
                <w:szCs w:val="21"/>
              </w:rPr>
              <w:t xml:space="preserve">CMA  </w:t>
            </w:r>
            <w:r>
              <w:rPr>
                <w:rFonts w:ascii="宋体" w:hAnsi="Calibri"/>
                <w:sz w:val="24"/>
                <w:szCs w:val="21"/>
              </w:rPr>
              <w:sym w:font="Wingdings 2" w:char="0052"/>
            </w:r>
            <w:r>
              <w:rPr>
                <w:rFonts w:hint="eastAsia" w:ascii="仿宋_GB2312" w:hAnsi="宋体" w:eastAsia="仿宋_GB2312"/>
                <w:sz w:val="24"/>
                <w:szCs w:val="21"/>
              </w:rPr>
              <w:t xml:space="preserve">CAL </w:t>
            </w:r>
            <w:r>
              <w:rPr>
                <w:rFonts w:ascii="宋体" w:hAnsi="Calibri"/>
                <w:sz w:val="24"/>
                <w:szCs w:val="21"/>
              </w:rPr>
              <w:sym w:font="Wingdings 2" w:char="0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GB 4706.22-2008</w:t>
            </w:r>
          </w:p>
        </w:tc>
        <w:tc>
          <w:tcPr>
            <w:tcW w:w="41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家用和类似用途电器的安全  驻立式电灶，灶台，烤炉及类似用途器具的特殊要求</w:t>
            </w:r>
          </w:p>
        </w:tc>
        <w:tc>
          <w:tcPr>
            <w:tcW w:w="27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Calibri"/>
                <w:sz w:val="24"/>
                <w:szCs w:val="21"/>
              </w:rPr>
            </w:pPr>
            <w:r>
              <w:rPr>
                <w:rFonts w:ascii="宋体" w:hAnsi="Calibri"/>
                <w:sz w:val="24"/>
                <w:szCs w:val="21"/>
              </w:rPr>
              <w:sym w:font="Wingdings 2" w:char="0052"/>
            </w:r>
            <w:r>
              <w:rPr>
                <w:rFonts w:hint="eastAsia" w:ascii="仿宋_GB2312" w:hAnsi="宋体" w:eastAsia="仿宋_GB2312"/>
                <w:sz w:val="24"/>
                <w:szCs w:val="21"/>
              </w:rPr>
              <w:t xml:space="preserve">CMA  </w:t>
            </w:r>
            <w:r>
              <w:rPr>
                <w:rFonts w:ascii="宋体" w:hAnsi="Calibri"/>
                <w:sz w:val="24"/>
                <w:szCs w:val="21"/>
              </w:rPr>
              <w:sym w:font="Wingdings 2" w:char="0052"/>
            </w:r>
            <w:r>
              <w:rPr>
                <w:rFonts w:hint="eastAsia" w:ascii="仿宋_GB2312" w:hAnsi="宋体" w:eastAsia="仿宋_GB2312"/>
                <w:sz w:val="24"/>
                <w:szCs w:val="21"/>
              </w:rPr>
              <w:t xml:space="preserve">CAL </w:t>
            </w:r>
            <w:r>
              <w:rPr>
                <w:rFonts w:ascii="宋体" w:hAnsi="Calibri"/>
                <w:sz w:val="24"/>
                <w:szCs w:val="21"/>
              </w:rPr>
              <w:sym w:font="Wingdings 2" w:char="0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GB 4706.29-2008</w:t>
            </w:r>
          </w:p>
        </w:tc>
        <w:tc>
          <w:tcPr>
            <w:tcW w:w="41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家用和类似用途电器的安全 便携式电磁灶的特殊要求</w:t>
            </w:r>
          </w:p>
        </w:tc>
        <w:tc>
          <w:tcPr>
            <w:tcW w:w="27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Calibri"/>
                <w:sz w:val="24"/>
                <w:szCs w:val="21"/>
              </w:rPr>
            </w:pPr>
            <w:r>
              <w:rPr>
                <w:rFonts w:ascii="宋体" w:hAnsi="Calibri"/>
                <w:sz w:val="24"/>
                <w:szCs w:val="21"/>
              </w:rPr>
              <w:sym w:font="Wingdings 2" w:char="0052"/>
            </w:r>
            <w:r>
              <w:rPr>
                <w:rFonts w:hint="eastAsia" w:ascii="仿宋_GB2312" w:hAnsi="宋体" w:eastAsia="仿宋_GB2312"/>
                <w:sz w:val="24"/>
                <w:szCs w:val="21"/>
              </w:rPr>
              <w:t xml:space="preserve">CMA  </w:t>
            </w:r>
            <w:r>
              <w:rPr>
                <w:rFonts w:ascii="宋体" w:hAnsi="Calibri"/>
                <w:sz w:val="24"/>
                <w:szCs w:val="21"/>
              </w:rPr>
              <w:sym w:font="Wingdings 2" w:char="0052"/>
            </w:r>
            <w:r>
              <w:rPr>
                <w:rFonts w:hint="eastAsia" w:ascii="仿宋_GB2312" w:hAnsi="宋体" w:eastAsia="仿宋_GB2312"/>
                <w:sz w:val="24"/>
                <w:szCs w:val="21"/>
              </w:rPr>
              <w:t xml:space="preserve">CAL </w:t>
            </w:r>
            <w:r>
              <w:rPr>
                <w:rFonts w:ascii="宋体" w:hAnsi="Calibri"/>
                <w:sz w:val="24"/>
                <w:szCs w:val="21"/>
              </w:rPr>
              <w:sym w:font="Wingdings 2" w:char="0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GB 4706.19-2008</w:t>
            </w:r>
          </w:p>
        </w:tc>
        <w:tc>
          <w:tcPr>
            <w:tcW w:w="41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家用和类似用途电器安全 液体加热器的特殊要求</w:t>
            </w:r>
          </w:p>
        </w:tc>
        <w:tc>
          <w:tcPr>
            <w:tcW w:w="27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Calibri"/>
                <w:sz w:val="24"/>
                <w:szCs w:val="21"/>
              </w:rPr>
            </w:pPr>
            <w:r>
              <w:rPr>
                <w:rFonts w:ascii="宋体" w:hAnsi="Calibri"/>
                <w:sz w:val="24"/>
                <w:szCs w:val="21"/>
              </w:rPr>
              <w:sym w:font="Wingdings 2" w:char="0052"/>
            </w:r>
            <w:r>
              <w:rPr>
                <w:rFonts w:hint="eastAsia" w:ascii="仿宋_GB2312" w:hAnsi="宋体" w:eastAsia="仿宋_GB2312"/>
                <w:sz w:val="24"/>
                <w:szCs w:val="21"/>
              </w:rPr>
              <w:t xml:space="preserve">CMA  </w:t>
            </w:r>
            <w:r>
              <w:rPr>
                <w:rFonts w:ascii="宋体" w:hAnsi="Calibri"/>
                <w:sz w:val="24"/>
                <w:szCs w:val="21"/>
              </w:rPr>
              <w:sym w:font="Wingdings 2" w:char="0052"/>
            </w:r>
            <w:r>
              <w:rPr>
                <w:rFonts w:hint="eastAsia" w:ascii="仿宋_GB2312" w:hAnsi="宋体" w:eastAsia="仿宋_GB2312"/>
                <w:sz w:val="24"/>
                <w:szCs w:val="21"/>
              </w:rPr>
              <w:t xml:space="preserve">CAL </w:t>
            </w:r>
            <w:r>
              <w:rPr>
                <w:rFonts w:ascii="宋体" w:hAnsi="Calibri"/>
                <w:sz w:val="24"/>
                <w:szCs w:val="21"/>
              </w:rPr>
              <w:sym w:font="Wingdings 2" w:char="0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GB 17988-2008</w:t>
            </w:r>
          </w:p>
        </w:tc>
        <w:tc>
          <w:tcPr>
            <w:tcW w:w="41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ascii="仿宋_GB2312" w:hAnsi="宋体" w:eastAsia="仿宋_GB2312"/>
                <w:sz w:val="24"/>
                <w:szCs w:val="21"/>
              </w:rPr>
            </w:pPr>
            <w:r>
              <w:rPr>
                <w:rFonts w:hint="eastAsia" w:ascii="仿宋_GB2312" w:hAnsi="宋体" w:eastAsia="仿宋_GB2312"/>
                <w:sz w:val="24"/>
                <w:szCs w:val="21"/>
              </w:rPr>
              <w:t>食具消毒柜安全和卫生要求</w:t>
            </w:r>
          </w:p>
        </w:tc>
        <w:tc>
          <w:tcPr>
            <w:tcW w:w="27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Calibri"/>
                <w:sz w:val="24"/>
                <w:szCs w:val="21"/>
              </w:rPr>
            </w:pPr>
            <w:r>
              <w:rPr>
                <w:rFonts w:ascii="宋体" w:hAnsi="Calibri"/>
                <w:sz w:val="24"/>
                <w:szCs w:val="21"/>
              </w:rPr>
              <w:sym w:font="Wingdings 2" w:char="0052"/>
            </w:r>
            <w:r>
              <w:rPr>
                <w:rFonts w:hint="eastAsia" w:ascii="仿宋_GB2312" w:hAnsi="宋体" w:eastAsia="仿宋_GB2312"/>
                <w:sz w:val="24"/>
                <w:szCs w:val="21"/>
              </w:rPr>
              <w:t xml:space="preserve">CMA  </w:t>
            </w:r>
            <w:r>
              <w:rPr>
                <w:rFonts w:ascii="宋体" w:hAnsi="Calibri"/>
                <w:sz w:val="24"/>
                <w:szCs w:val="21"/>
              </w:rPr>
              <w:sym w:font="Wingdings 2" w:char="0052"/>
            </w:r>
            <w:r>
              <w:rPr>
                <w:rFonts w:hint="eastAsia" w:ascii="仿宋_GB2312" w:hAnsi="宋体" w:eastAsia="仿宋_GB2312"/>
                <w:sz w:val="24"/>
                <w:szCs w:val="21"/>
              </w:rPr>
              <w:t xml:space="preserve">CAL </w:t>
            </w:r>
            <w:r>
              <w:rPr>
                <w:rFonts w:ascii="宋体" w:hAnsi="Calibri"/>
                <w:sz w:val="24"/>
                <w:szCs w:val="21"/>
              </w:rPr>
              <w:sym w:font="Wingdings 2" w:char="0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GB 4706.28-2008</w:t>
            </w:r>
          </w:p>
        </w:tc>
        <w:tc>
          <w:tcPr>
            <w:tcW w:w="41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ascii="仿宋_GB2312" w:hAnsi="宋体" w:eastAsia="仿宋_GB2312"/>
                <w:sz w:val="24"/>
                <w:szCs w:val="21"/>
              </w:rPr>
            </w:pPr>
            <w:r>
              <w:rPr>
                <w:rFonts w:hint="eastAsia" w:ascii="仿宋_GB2312" w:hAnsi="宋体" w:eastAsia="仿宋_GB2312"/>
                <w:sz w:val="24"/>
                <w:szCs w:val="21"/>
              </w:rPr>
              <w:t>家用和类似用途电器的安全 吸油烟机的特殊要求</w:t>
            </w:r>
          </w:p>
        </w:tc>
        <w:tc>
          <w:tcPr>
            <w:tcW w:w="27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Calibri"/>
                <w:sz w:val="24"/>
                <w:szCs w:val="21"/>
              </w:rPr>
            </w:pPr>
            <w:r>
              <w:rPr>
                <w:rFonts w:ascii="宋体" w:hAnsi="Calibri"/>
                <w:sz w:val="24"/>
                <w:szCs w:val="21"/>
              </w:rPr>
              <w:sym w:font="Wingdings 2" w:char="0052"/>
            </w:r>
            <w:r>
              <w:rPr>
                <w:rFonts w:hint="eastAsia" w:ascii="仿宋_GB2312" w:hAnsi="宋体" w:eastAsia="仿宋_GB2312"/>
                <w:sz w:val="24"/>
                <w:szCs w:val="21"/>
              </w:rPr>
              <w:t xml:space="preserve">CMA  </w:t>
            </w:r>
            <w:r>
              <w:rPr>
                <w:rFonts w:ascii="宋体" w:hAnsi="Calibri"/>
                <w:sz w:val="24"/>
                <w:szCs w:val="21"/>
              </w:rPr>
              <w:sym w:font="Wingdings 2" w:char="0052"/>
            </w:r>
            <w:r>
              <w:rPr>
                <w:rFonts w:hint="eastAsia" w:ascii="仿宋_GB2312" w:hAnsi="宋体" w:eastAsia="仿宋_GB2312"/>
                <w:sz w:val="24"/>
                <w:szCs w:val="21"/>
              </w:rPr>
              <w:t xml:space="preserve">CAL </w:t>
            </w:r>
            <w:r>
              <w:rPr>
                <w:rFonts w:ascii="宋体" w:hAnsi="Calibri"/>
                <w:sz w:val="24"/>
                <w:szCs w:val="21"/>
              </w:rPr>
              <w:sym w:font="Wingdings 2" w:char="0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GB 4706.30-2008</w:t>
            </w:r>
          </w:p>
        </w:tc>
        <w:tc>
          <w:tcPr>
            <w:tcW w:w="41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家用和类似用途电器的安全 厨房机械的特殊要求</w:t>
            </w:r>
          </w:p>
        </w:tc>
        <w:tc>
          <w:tcPr>
            <w:tcW w:w="27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Calibri"/>
                <w:sz w:val="24"/>
                <w:szCs w:val="21"/>
              </w:rPr>
            </w:pPr>
            <w:r>
              <w:rPr>
                <w:rFonts w:ascii="宋体" w:hAnsi="Calibri"/>
                <w:sz w:val="24"/>
                <w:szCs w:val="21"/>
              </w:rPr>
              <w:sym w:font="Wingdings 2" w:char="0052"/>
            </w:r>
            <w:r>
              <w:rPr>
                <w:rFonts w:hint="eastAsia" w:ascii="仿宋_GB2312" w:hAnsi="宋体" w:eastAsia="仿宋_GB2312"/>
                <w:sz w:val="24"/>
                <w:szCs w:val="21"/>
              </w:rPr>
              <w:t xml:space="preserve">CMA  </w:t>
            </w:r>
            <w:r>
              <w:rPr>
                <w:rFonts w:ascii="宋体" w:hAnsi="Calibri"/>
                <w:sz w:val="24"/>
                <w:szCs w:val="21"/>
              </w:rPr>
              <w:sym w:font="Wingdings 2" w:char="0052"/>
            </w:r>
            <w:r>
              <w:rPr>
                <w:rFonts w:hint="eastAsia" w:ascii="仿宋_GB2312" w:hAnsi="宋体" w:eastAsia="仿宋_GB2312"/>
                <w:sz w:val="24"/>
                <w:szCs w:val="21"/>
              </w:rPr>
              <w:t xml:space="preserve">CAL </w:t>
            </w:r>
            <w:r>
              <w:rPr>
                <w:rFonts w:ascii="宋体" w:hAnsi="Calibri"/>
                <w:sz w:val="24"/>
                <w:szCs w:val="21"/>
              </w:rPr>
              <w:sym w:font="Wingdings 2" w:char="0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GB 4706.21-2008</w:t>
            </w:r>
          </w:p>
        </w:tc>
        <w:tc>
          <w:tcPr>
            <w:tcW w:w="41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ascii="仿宋_GB2312" w:hAnsi="宋体" w:eastAsia="仿宋_GB2312"/>
                <w:sz w:val="24"/>
                <w:szCs w:val="21"/>
              </w:rPr>
            </w:pPr>
            <w:r>
              <w:rPr>
                <w:rFonts w:hint="eastAsia" w:ascii="仿宋_GB2312" w:hAnsi="宋体" w:eastAsia="仿宋_GB2312"/>
                <w:sz w:val="24"/>
                <w:szCs w:val="21"/>
              </w:rPr>
              <w:t>家用和类似用途电器的安全 微波炉，包括组合型微波炉的特殊要求</w:t>
            </w:r>
          </w:p>
        </w:tc>
        <w:tc>
          <w:tcPr>
            <w:tcW w:w="27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Calibri"/>
                <w:sz w:val="24"/>
                <w:szCs w:val="21"/>
              </w:rPr>
            </w:pPr>
            <w:r>
              <w:rPr>
                <w:rFonts w:ascii="宋体" w:hAnsi="Calibri"/>
                <w:sz w:val="24"/>
                <w:szCs w:val="21"/>
              </w:rPr>
              <w:sym w:font="Wingdings 2" w:char="0052"/>
            </w:r>
            <w:r>
              <w:rPr>
                <w:rFonts w:hint="eastAsia" w:ascii="仿宋_GB2312" w:hAnsi="宋体" w:eastAsia="仿宋_GB2312"/>
                <w:sz w:val="24"/>
                <w:szCs w:val="21"/>
              </w:rPr>
              <w:t xml:space="preserve">CMA  </w:t>
            </w:r>
            <w:r>
              <w:rPr>
                <w:rFonts w:ascii="宋体" w:hAnsi="Calibri"/>
                <w:sz w:val="24"/>
                <w:szCs w:val="21"/>
              </w:rPr>
              <w:sym w:font="Wingdings 2" w:char="0052"/>
            </w:r>
            <w:r>
              <w:rPr>
                <w:rFonts w:hint="eastAsia" w:ascii="仿宋_GB2312" w:hAnsi="宋体" w:eastAsia="仿宋_GB2312"/>
                <w:sz w:val="24"/>
                <w:szCs w:val="21"/>
              </w:rPr>
              <w:t xml:space="preserve">CAL </w:t>
            </w:r>
            <w:r>
              <w:rPr>
                <w:rFonts w:ascii="宋体" w:hAnsi="Calibri"/>
                <w:sz w:val="24"/>
                <w:szCs w:val="21"/>
              </w:rPr>
              <w:sym w:font="Wingdings 2" w:char="0052"/>
            </w:r>
            <w:r>
              <w:rPr>
                <w:rFonts w:hint="eastAsia" w:ascii="仿宋_GB2312" w:hAnsi="宋体" w:eastAsia="仿宋_GB2312"/>
                <w:sz w:val="24"/>
                <w:szCs w:val="21"/>
              </w:rPr>
              <w:t>CNAS</w:t>
            </w:r>
          </w:p>
        </w:tc>
      </w:tr>
    </w:tbl>
    <w:p>
      <w:pPr>
        <w:snapToGrid w:val="0"/>
        <w:spacing w:line="540" w:lineRule="exact"/>
        <w:ind w:firstLine="548" w:firstLineChars="196"/>
        <w:rPr>
          <w:rFonts w:hint="eastAsia"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540" w:lineRule="exact"/>
        <w:rPr>
          <w:rFonts w:hint="eastAsia" w:ascii="仿宋_GB2312" w:hAnsi="宋体" w:eastAsia="仿宋_GB2312"/>
          <w:b/>
          <w:sz w:val="28"/>
          <w:szCs w:val="28"/>
        </w:rPr>
      </w:pPr>
      <w:r>
        <w:rPr>
          <w:rFonts w:hint="eastAsia" w:ascii="仿宋_GB2312" w:hAnsi="宋体" w:eastAsia="仿宋_GB2312"/>
          <w:b/>
          <w:sz w:val="28"/>
          <w:szCs w:val="28"/>
        </w:rPr>
        <w:t>5 抽样</w:t>
      </w:r>
    </w:p>
    <w:p>
      <w:pPr>
        <w:snapToGrid w:val="0"/>
        <w:spacing w:line="540" w:lineRule="exact"/>
        <w:rPr>
          <w:rFonts w:hint="eastAsia"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540" w:lineRule="exact"/>
        <w:ind w:firstLine="537" w:firstLineChars="192"/>
        <w:rPr>
          <w:rFonts w:hint="eastAsia"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540" w:lineRule="exact"/>
        <w:rPr>
          <w:rFonts w:hint="eastAsia" w:ascii="仿宋_GB2312" w:hAnsi="宋体" w:eastAsia="仿宋_GB2312"/>
          <w:b/>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p>
    <w:p>
      <w:pPr>
        <w:snapToGrid w:val="0"/>
        <w:spacing w:line="540" w:lineRule="exact"/>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向被抽样企业提交《无偿提供样品通知书》及《退样通知书》，被抽样企业可凭《退样通知书》并按相关规定退回无偿提供的样品。</w:t>
      </w:r>
    </w:p>
    <w:p>
      <w:pPr>
        <w:snapToGrid w:val="0"/>
        <w:spacing w:line="54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流通领域：流通领域抽样可采取在流通领域实体店以及网络交易平台两种方式获得样品。</w:t>
      </w:r>
    </w:p>
    <w:p>
      <w:pPr>
        <w:snapToGrid w:val="0"/>
        <w:spacing w:line="540" w:lineRule="exact"/>
        <w:rPr>
          <w:rFonts w:hint="eastAsia" w:ascii="仿宋_GB2312" w:hAnsi="宋体" w:eastAsia="仿宋_GB2312"/>
          <w:b/>
          <w:sz w:val="28"/>
          <w:szCs w:val="28"/>
        </w:rPr>
      </w:pPr>
      <w:r>
        <w:rPr>
          <w:rFonts w:hint="eastAsia"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向被抽样企业提交《无偿提供样品通知书》及《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宋体" w:eastAsia="仿宋_GB2312"/>
          <w:b/>
          <w:sz w:val="28"/>
          <w:szCs w:val="28"/>
        </w:rPr>
        <w:t>5.3 抽样基数</w:t>
      </w:r>
    </w:p>
    <w:p>
      <w:pPr>
        <w:snapToGrid w:val="0"/>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540" w:lineRule="exact"/>
        <w:rPr>
          <w:rFonts w:hint="eastAsia" w:ascii="仿宋_GB2312" w:hAnsi="宋体" w:eastAsia="仿宋_GB2312"/>
          <w:b/>
          <w:sz w:val="28"/>
          <w:szCs w:val="28"/>
        </w:rPr>
      </w:pPr>
      <w:r>
        <w:rPr>
          <w:rFonts w:hint="eastAsia" w:ascii="仿宋_GB2312" w:hAnsi="宋体" w:eastAsia="仿宋_GB2312"/>
          <w:b/>
          <w:sz w:val="28"/>
          <w:szCs w:val="28"/>
        </w:rPr>
        <w:t>5.4 抽样数量</w:t>
      </w:r>
    </w:p>
    <w:p>
      <w:pPr>
        <w:snapToGrid w:val="0"/>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生产领域：随机抽取同一规格型号的2台样品，1台作为检验样品带回承检单位，1台作为备用样品封存于承检单位。</w:t>
      </w:r>
    </w:p>
    <w:p>
      <w:pPr>
        <w:snapToGrid w:val="0"/>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流通领域（实体店）：随机抽取同一规格型号的2台样品，1台作为检验样品带回承检单位，1台作为备用样品封存于承检单位。</w:t>
      </w:r>
    </w:p>
    <w:p>
      <w:pPr>
        <w:snapToGrid w:val="0"/>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流通领域（网络交易平台）：随机抽取同一规格型号的2台样品，1台作为检验样品带回承检单位，1台作为备用样品封存于承检单位。</w:t>
      </w:r>
    </w:p>
    <w:p>
      <w:pPr>
        <w:snapToGrid w:val="0"/>
        <w:spacing w:line="540" w:lineRule="exact"/>
        <w:rPr>
          <w:rFonts w:hint="eastAsia"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hint="eastAsia"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样品应当由抽样人员在被抽样生产者、销售者的待销产品中随机抽取，不得由被抽样生产者、销售者自行抽样。</w:t>
      </w:r>
    </w:p>
    <w:p>
      <w:pPr>
        <w:snapToGrid w:val="0"/>
        <w:spacing w:line="540" w:lineRule="exact"/>
        <w:rPr>
          <w:rFonts w:hint="eastAsia"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hint="eastAsia"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抽样时应一并抽取产品的配件、说明书、包装等。</w:t>
      </w:r>
    </w:p>
    <w:p>
      <w:pPr>
        <w:snapToGrid w:val="0"/>
        <w:spacing w:line="540" w:lineRule="exact"/>
        <w:rPr>
          <w:rFonts w:hint="eastAsia" w:ascii="仿宋_GB2312" w:hAnsi="宋体" w:eastAsia="仿宋_GB2312"/>
          <w:b/>
          <w:sz w:val="28"/>
          <w:szCs w:val="28"/>
        </w:rPr>
      </w:pPr>
      <w:r>
        <w:rPr>
          <w:rFonts w:hint="eastAsia" w:ascii="仿宋_GB2312" w:hAnsi="宋体" w:eastAsia="仿宋_GB2312"/>
          <w:b/>
          <w:sz w:val="28"/>
          <w:szCs w:val="28"/>
        </w:rPr>
        <w:t>5.6 样品处置</w:t>
      </w:r>
    </w:p>
    <w:p>
      <w:pPr>
        <w:spacing w:line="540" w:lineRule="exact"/>
        <w:rPr>
          <w:rFonts w:hint="eastAsia" w:ascii="仿宋_GB2312" w:hAnsi="宋体" w:eastAsia="仿宋_GB2312"/>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hint="eastAsia" w:ascii="仿宋_GB2312" w:hAnsi="Calibri" w:eastAsia="仿宋_GB2312"/>
          <w:sz w:val="28"/>
          <w:szCs w:val="28"/>
        </w:rPr>
      </w:pPr>
      <w:r>
        <w:rPr>
          <w:rFonts w:hint="eastAsia" w:ascii="仿宋_GB2312" w:hAnsi="宋体" w:eastAsia="仿宋_GB2312"/>
          <w:b/>
          <w:sz w:val="28"/>
          <w:szCs w:val="28"/>
        </w:rPr>
        <w:t xml:space="preserve">5.6.2 </w:t>
      </w:r>
      <w:r>
        <w:rPr>
          <w:rFonts w:hint="eastAsia" w:ascii="仿宋_GB2312" w:hAnsi="Calibri"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hint="eastAsia"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hint="eastAsia" w:ascii="仿宋_GB2312" w:hAnsi="Calibri"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540" w:lineRule="exact"/>
        <w:rPr>
          <w:rFonts w:hint="eastAsia" w:ascii="仿宋_GB2312" w:hAnsi="宋体" w:eastAsia="仿宋_GB2312"/>
          <w:b/>
          <w:sz w:val="28"/>
          <w:szCs w:val="28"/>
        </w:rPr>
      </w:pPr>
      <w:r>
        <w:rPr>
          <w:rFonts w:hint="eastAsia" w:ascii="仿宋_GB2312" w:hAnsi="宋体" w:eastAsia="仿宋_GB2312"/>
          <w:b/>
          <w:sz w:val="28"/>
          <w:szCs w:val="28"/>
        </w:rPr>
        <w:t>6 检验要求</w:t>
      </w:r>
    </w:p>
    <w:p>
      <w:pPr>
        <w:snapToGrid w:val="0"/>
        <w:spacing w:line="540" w:lineRule="exact"/>
        <w:rPr>
          <w:rFonts w:hint="eastAsia" w:ascii="仿宋_GB2312" w:hAnsi="宋体" w:eastAsia="仿宋_GB2312"/>
          <w:b/>
          <w:sz w:val="28"/>
          <w:szCs w:val="28"/>
        </w:rPr>
      </w:pPr>
      <w:r>
        <w:rPr>
          <w:rFonts w:hint="eastAsia" w:ascii="仿宋_GB2312" w:hAnsi="宋体" w:eastAsia="仿宋_GB2312"/>
          <w:b/>
          <w:sz w:val="28"/>
          <w:szCs w:val="28"/>
        </w:rPr>
        <w:t>6.1 检验项目</w:t>
      </w:r>
    </w:p>
    <w:tbl>
      <w:tblPr>
        <w:tblStyle w:val="2"/>
        <w:tblW w:w="918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5"/>
        <w:gridCol w:w="1518"/>
        <w:gridCol w:w="2535"/>
        <w:gridCol w:w="1035"/>
        <w:gridCol w:w="2378"/>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序号</w:t>
            </w:r>
          </w:p>
        </w:tc>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1</w:t>
            </w:r>
          </w:p>
        </w:tc>
        <w:tc>
          <w:tcPr>
            <w:tcW w:w="151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对触及带电部件的防护</w:t>
            </w:r>
          </w:p>
        </w:tc>
        <w:tc>
          <w:tcPr>
            <w:tcW w:w="253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8</w:t>
            </w:r>
          </w:p>
        </w:tc>
        <w:tc>
          <w:tcPr>
            <w:tcW w:w="1035" w:type="dxa"/>
            <w:tcBorders>
              <w:top w:val="single" w:color="auto" w:sz="2"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8</w:t>
            </w:r>
          </w:p>
        </w:tc>
        <w:tc>
          <w:tcPr>
            <w:tcW w:w="100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2</w:t>
            </w:r>
          </w:p>
        </w:tc>
        <w:tc>
          <w:tcPr>
            <w:tcW w:w="151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输入功率和电流</w:t>
            </w:r>
          </w:p>
        </w:tc>
        <w:tc>
          <w:tcPr>
            <w:tcW w:w="253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10</w:t>
            </w:r>
          </w:p>
        </w:tc>
        <w:tc>
          <w:tcPr>
            <w:tcW w:w="1035" w:type="dxa"/>
            <w:tcBorders>
              <w:top w:val="single" w:color="auto" w:sz="2"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10</w:t>
            </w:r>
          </w:p>
        </w:tc>
        <w:tc>
          <w:tcPr>
            <w:tcW w:w="100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3</w:t>
            </w:r>
          </w:p>
        </w:tc>
        <w:tc>
          <w:tcPr>
            <w:tcW w:w="151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发热</w:t>
            </w:r>
          </w:p>
        </w:tc>
        <w:tc>
          <w:tcPr>
            <w:tcW w:w="253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11</w:t>
            </w:r>
          </w:p>
        </w:tc>
        <w:tc>
          <w:tcPr>
            <w:tcW w:w="1035" w:type="dxa"/>
            <w:tcBorders>
              <w:top w:val="single" w:color="auto" w:sz="2"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11</w:t>
            </w:r>
          </w:p>
        </w:tc>
        <w:tc>
          <w:tcPr>
            <w:tcW w:w="100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4</w:t>
            </w:r>
          </w:p>
        </w:tc>
        <w:tc>
          <w:tcPr>
            <w:tcW w:w="151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工作温度下的泄漏电流和电气强度</w:t>
            </w:r>
          </w:p>
        </w:tc>
        <w:tc>
          <w:tcPr>
            <w:tcW w:w="253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13</w:t>
            </w:r>
          </w:p>
        </w:tc>
        <w:tc>
          <w:tcPr>
            <w:tcW w:w="1035" w:type="dxa"/>
            <w:tcBorders>
              <w:top w:val="single" w:color="auto" w:sz="2"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13</w:t>
            </w:r>
          </w:p>
        </w:tc>
        <w:tc>
          <w:tcPr>
            <w:tcW w:w="100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5</w:t>
            </w:r>
          </w:p>
        </w:tc>
        <w:tc>
          <w:tcPr>
            <w:tcW w:w="151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耐潮湿</w:t>
            </w:r>
          </w:p>
        </w:tc>
        <w:tc>
          <w:tcPr>
            <w:tcW w:w="253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15</w:t>
            </w:r>
          </w:p>
        </w:tc>
        <w:tc>
          <w:tcPr>
            <w:tcW w:w="1035" w:type="dxa"/>
            <w:tcBorders>
              <w:top w:val="single" w:color="auto" w:sz="2"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15</w:t>
            </w:r>
          </w:p>
        </w:tc>
        <w:tc>
          <w:tcPr>
            <w:tcW w:w="100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6</w:t>
            </w:r>
          </w:p>
        </w:tc>
        <w:tc>
          <w:tcPr>
            <w:tcW w:w="151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泄漏电流和电气强度</w:t>
            </w:r>
          </w:p>
        </w:tc>
        <w:tc>
          <w:tcPr>
            <w:tcW w:w="253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16</w:t>
            </w:r>
          </w:p>
        </w:tc>
        <w:tc>
          <w:tcPr>
            <w:tcW w:w="1035" w:type="dxa"/>
            <w:tcBorders>
              <w:top w:val="single" w:color="auto" w:sz="2"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16</w:t>
            </w:r>
          </w:p>
        </w:tc>
        <w:tc>
          <w:tcPr>
            <w:tcW w:w="100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7</w:t>
            </w:r>
          </w:p>
        </w:tc>
        <w:tc>
          <w:tcPr>
            <w:tcW w:w="151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非正常工作（不包括19.11.4）</w:t>
            </w:r>
          </w:p>
        </w:tc>
        <w:tc>
          <w:tcPr>
            <w:tcW w:w="253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19</w:t>
            </w:r>
          </w:p>
        </w:tc>
        <w:tc>
          <w:tcPr>
            <w:tcW w:w="1035" w:type="dxa"/>
            <w:tcBorders>
              <w:top w:val="single" w:color="auto" w:sz="2"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19</w:t>
            </w:r>
          </w:p>
        </w:tc>
        <w:tc>
          <w:tcPr>
            <w:tcW w:w="100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8</w:t>
            </w:r>
          </w:p>
        </w:tc>
        <w:tc>
          <w:tcPr>
            <w:tcW w:w="151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稳定性和机械危险</w:t>
            </w:r>
          </w:p>
        </w:tc>
        <w:tc>
          <w:tcPr>
            <w:tcW w:w="253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20</w:t>
            </w:r>
          </w:p>
        </w:tc>
        <w:tc>
          <w:tcPr>
            <w:tcW w:w="1035" w:type="dxa"/>
            <w:tcBorders>
              <w:top w:val="single" w:color="auto" w:sz="2"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20</w:t>
            </w:r>
          </w:p>
        </w:tc>
        <w:tc>
          <w:tcPr>
            <w:tcW w:w="100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9</w:t>
            </w:r>
          </w:p>
        </w:tc>
        <w:tc>
          <w:tcPr>
            <w:tcW w:w="151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机械强度</w:t>
            </w:r>
          </w:p>
        </w:tc>
        <w:tc>
          <w:tcPr>
            <w:tcW w:w="253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21</w:t>
            </w:r>
          </w:p>
        </w:tc>
        <w:tc>
          <w:tcPr>
            <w:tcW w:w="1035" w:type="dxa"/>
            <w:tcBorders>
              <w:top w:val="single" w:color="auto" w:sz="2"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21</w:t>
            </w:r>
          </w:p>
        </w:tc>
        <w:tc>
          <w:tcPr>
            <w:tcW w:w="100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10</w:t>
            </w:r>
          </w:p>
        </w:tc>
        <w:tc>
          <w:tcPr>
            <w:tcW w:w="151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结构（不包括22.46（含附录R））</w:t>
            </w:r>
          </w:p>
        </w:tc>
        <w:tc>
          <w:tcPr>
            <w:tcW w:w="253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22</w:t>
            </w:r>
          </w:p>
        </w:tc>
        <w:tc>
          <w:tcPr>
            <w:tcW w:w="1035" w:type="dxa"/>
            <w:tcBorders>
              <w:top w:val="single" w:color="auto" w:sz="2"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22</w:t>
            </w:r>
          </w:p>
        </w:tc>
        <w:tc>
          <w:tcPr>
            <w:tcW w:w="100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11</w:t>
            </w:r>
          </w:p>
        </w:tc>
        <w:tc>
          <w:tcPr>
            <w:tcW w:w="151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内部布线</w:t>
            </w:r>
          </w:p>
        </w:tc>
        <w:tc>
          <w:tcPr>
            <w:tcW w:w="253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23</w:t>
            </w:r>
          </w:p>
        </w:tc>
        <w:tc>
          <w:tcPr>
            <w:tcW w:w="1035" w:type="dxa"/>
            <w:tcBorders>
              <w:top w:val="single" w:color="auto" w:sz="2"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23</w:t>
            </w:r>
          </w:p>
        </w:tc>
        <w:tc>
          <w:tcPr>
            <w:tcW w:w="100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12</w:t>
            </w:r>
          </w:p>
        </w:tc>
        <w:tc>
          <w:tcPr>
            <w:tcW w:w="151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电源连接和外部软线</w:t>
            </w:r>
          </w:p>
        </w:tc>
        <w:tc>
          <w:tcPr>
            <w:tcW w:w="253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25</w:t>
            </w:r>
          </w:p>
        </w:tc>
        <w:tc>
          <w:tcPr>
            <w:tcW w:w="1035" w:type="dxa"/>
            <w:tcBorders>
              <w:top w:val="single" w:color="auto" w:sz="2"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25</w:t>
            </w:r>
          </w:p>
        </w:tc>
        <w:tc>
          <w:tcPr>
            <w:tcW w:w="100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13</w:t>
            </w:r>
          </w:p>
        </w:tc>
        <w:tc>
          <w:tcPr>
            <w:tcW w:w="151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外部导线用接线端子</w:t>
            </w:r>
          </w:p>
        </w:tc>
        <w:tc>
          <w:tcPr>
            <w:tcW w:w="253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26</w:t>
            </w:r>
          </w:p>
        </w:tc>
        <w:tc>
          <w:tcPr>
            <w:tcW w:w="1035" w:type="dxa"/>
            <w:tcBorders>
              <w:top w:val="single" w:color="auto" w:sz="2"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26</w:t>
            </w:r>
          </w:p>
        </w:tc>
        <w:tc>
          <w:tcPr>
            <w:tcW w:w="100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14</w:t>
            </w:r>
          </w:p>
        </w:tc>
        <w:tc>
          <w:tcPr>
            <w:tcW w:w="151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接地措施</w:t>
            </w:r>
          </w:p>
        </w:tc>
        <w:tc>
          <w:tcPr>
            <w:tcW w:w="253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27</w:t>
            </w:r>
          </w:p>
        </w:tc>
        <w:tc>
          <w:tcPr>
            <w:tcW w:w="1035" w:type="dxa"/>
            <w:tcBorders>
              <w:top w:val="single" w:color="auto" w:sz="2"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27</w:t>
            </w:r>
          </w:p>
        </w:tc>
        <w:tc>
          <w:tcPr>
            <w:tcW w:w="100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15</w:t>
            </w:r>
          </w:p>
        </w:tc>
        <w:tc>
          <w:tcPr>
            <w:tcW w:w="151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螺钉和连接</w:t>
            </w:r>
          </w:p>
        </w:tc>
        <w:tc>
          <w:tcPr>
            <w:tcW w:w="253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28</w:t>
            </w:r>
          </w:p>
        </w:tc>
        <w:tc>
          <w:tcPr>
            <w:tcW w:w="1035" w:type="dxa"/>
            <w:tcBorders>
              <w:top w:val="single" w:color="auto" w:sz="2"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28</w:t>
            </w:r>
          </w:p>
        </w:tc>
        <w:tc>
          <w:tcPr>
            <w:tcW w:w="100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16</w:t>
            </w:r>
          </w:p>
        </w:tc>
        <w:tc>
          <w:tcPr>
            <w:tcW w:w="151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电气间隙、爬电距离和固体绝缘</w:t>
            </w:r>
          </w:p>
        </w:tc>
        <w:tc>
          <w:tcPr>
            <w:tcW w:w="253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29</w:t>
            </w:r>
          </w:p>
        </w:tc>
        <w:tc>
          <w:tcPr>
            <w:tcW w:w="1035" w:type="dxa"/>
            <w:tcBorders>
              <w:top w:val="single" w:color="auto" w:sz="2"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29</w:t>
            </w:r>
          </w:p>
        </w:tc>
        <w:tc>
          <w:tcPr>
            <w:tcW w:w="100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17</w:t>
            </w:r>
          </w:p>
        </w:tc>
        <w:tc>
          <w:tcPr>
            <w:tcW w:w="151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耐热和耐燃</w:t>
            </w:r>
          </w:p>
        </w:tc>
        <w:tc>
          <w:tcPr>
            <w:tcW w:w="2535"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30</w:t>
            </w:r>
          </w:p>
        </w:tc>
        <w:tc>
          <w:tcPr>
            <w:tcW w:w="1035" w:type="dxa"/>
            <w:tcBorders>
              <w:top w:val="single" w:color="auto" w:sz="2"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hint="eastAsia" w:ascii="仿宋_GB2312" w:eastAsia="仿宋_GB2312"/>
                <w:sz w:val="24"/>
              </w:rPr>
            </w:pPr>
            <w:r>
              <w:rPr>
                <w:rFonts w:hint="eastAsia" w:ascii="仿宋_GB2312" w:eastAsia="仿宋_GB2312"/>
                <w:sz w:val="24"/>
              </w:rPr>
              <w:t>GB 4706.14-2008/</w:t>
            </w:r>
          </w:p>
          <w:p>
            <w:pPr>
              <w:jc w:val="center"/>
              <w:rPr>
                <w:rFonts w:hint="eastAsia" w:ascii="仿宋_GB2312" w:eastAsia="仿宋_GB2312"/>
                <w:sz w:val="24"/>
              </w:rPr>
            </w:pPr>
            <w:r>
              <w:rPr>
                <w:rFonts w:hint="eastAsia" w:ascii="仿宋_GB2312" w:eastAsia="仿宋_GB2312"/>
                <w:sz w:val="24"/>
              </w:rPr>
              <w:t>GB 4706.22-2008/</w:t>
            </w:r>
          </w:p>
          <w:p>
            <w:pPr>
              <w:jc w:val="center"/>
              <w:rPr>
                <w:rFonts w:hint="eastAsia" w:ascii="仿宋_GB2312" w:eastAsia="仿宋_GB2312"/>
                <w:sz w:val="24"/>
              </w:rPr>
            </w:pPr>
            <w:r>
              <w:rPr>
                <w:rFonts w:hint="eastAsia" w:ascii="仿宋_GB2312" w:eastAsia="仿宋_GB2312"/>
                <w:sz w:val="24"/>
              </w:rPr>
              <w:t>GB 4706.29-2008/</w:t>
            </w:r>
          </w:p>
          <w:p>
            <w:pPr>
              <w:jc w:val="center"/>
              <w:rPr>
                <w:rFonts w:hint="eastAsia" w:ascii="仿宋_GB2312" w:eastAsia="仿宋_GB2312"/>
                <w:sz w:val="24"/>
              </w:rPr>
            </w:pPr>
            <w:r>
              <w:rPr>
                <w:rFonts w:hint="eastAsia" w:ascii="仿宋_GB2312" w:eastAsia="仿宋_GB2312"/>
                <w:sz w:val="24"/>
              </w:rPr>
              <w:t>GB 4706.19-2008/</w:t>
            </w:r>
          </w:p>
          <w:p>
            <w:pPr>
              <w:jc w:val="center"/>
              <w:rPr>
                <w:rFonts w:hint="eastAsia" w:ascii="仿宋_GB2312" w:eastAsia="仿宋_GB2312"/>
                <w:sz w:val="24"/>
              </w:rPr>
            </w:pPr>
            <w:r>
              <w:rPr>
                <w:rFonts w:hint="eastAsia" w:ascii="仿宋_GB2312" w:eastAsia="仿宋_GB2312"/>
                <w:sz w:val="24"/>
              </w:rPr>
              <w:t>GB 17988-2008/</w:t>
            </w:r>
          </w:p>
          <w:p>
            <w:pPr>
              <w:jc w:val="center"/>
              <w:rPr>
                <w:rFonts w:hint="eastAsia" w:ascii="仿宋_GB2312" w:eastAsia="仿宋_GB2312"/>
                <w:sz w:val="24"/>
              </w:rPr>
            </w:pPr>
            <w:r>
              <w:rPr>
                <w:rFonts w:hint="eastAsia" w:ascii="仿宋_GB2312" w:eastAsia="仿宋_GB2312"/>
                <w:sz w:val="24"/>
              </w:rPr>
              <w:t>GB 4706.28-2008/</w:t>
            </w:r>
          </w:p>
          <w:p>
            <w:pPr>
              <w:jc w:val="center"/>
              <w:rPr>
                <w:rFonts w:hint="eastAsia" w:ascii="仿宋_GB2312" w:eastAsia="仿宋_GB2312"/>
                <w:sz w:val="24"/>
              </w:rPr>
            </w:pPr>
            <w:r>
              <w:rPr>
                <w:rFonts w:hint="eastAsia" w:ascii="仿宋_GB2312" w:eastAsia="仿宋_GB2312"/>
                <w:sz w:val="24"/>
              </w:rPr>
              <w:t>GB 4706.30-2008/</w:t>
            </w:r>
          </w:p>
          <w:p>
            <w:pPr>
              <w:jc w:val="center"/>
              <w:rPr>
                <w:rFonts w:ascii="仿宋_GB2312" w:hAnsi="宋体" w:eastAsia="仿宋_GB2312" w:cs="宋体"/>
                <w:sz w:val="24"/>
              </w:rPr>
            </w:pPr>
            <w:r>
              <w:rPr>
                <w:rFonts w:hint="eastAsia" w:ascii="仿宋_GB2312" w:eastAsia="仿宋_GB2312"/>
                <w:sz w:val="24"/>
              </w:rPr>
              <w:t>GB 4706.21-2008 30</w:t>
            </w:r>
          </w:p>
        </w:tc>
        <w:tc>
          <w:tcPr>
            <w:tcW w:w="1008" w:type="dxa"/>
            <w:tcBorders>
              <w:top w:val="single" w:color="auto" w:sz="2"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left w:val="single" w:color="auto" w:sz="4" w:space="0"/>
              <w:bottom w:val="single" w:color="auto" w:sz="2"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18</w:t>
            </w:r>
          </w:p>
        </w:tc>
        <w:tc>
          <w:tcPr>
            <w:tcW w:w="1518" w:type="dxa"/>
            <w:tcBorders>
              <w:top w:val="single" w:color="auto" w:sz="2" w:space="0"/>
              <w:left w:val="single" w:color="auto" w:sz="4" w:space="0"/>
              <w:bottom w:val="single" w:color="auto" w:sz="2"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噪声</w:t>
            </w:r>
          </w:p>
        </w:tc>
        <w:tc>
          <w:tcPr>
            <w:tcW w:w="2535" w:type="dxa"/>
            <w:tcBorders>
              <w:top w:val="single" w:color="auto" w:sz="2" w:space="0"/>
              <w:left w:val="single" w:color="auto" w:sz="4" w:space="0"/>
              <w:bottom w:val="single" w:color="auto" w:sz="2"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GB1 9606-2004 附录E</w:t>
            </w:r>
          </w:p>
        </w:tc>
        <w:tc>
          <w:tcPr>
            <w:tcW w:w="1035" w:type="dxa"/>
            <w:tcBorders>
              <w:top w:val="single" w:color="auto" w:sz="2" w:space="0"/>
              <w:left w:val="single" w:color="auto" w:sz="4" w:space="0"/>
              <w:bottom w:val="single" w:color="auto" w:sz="2" w:space="0"/>
              <w:right w:val="single" w:color="auto" w:sz="4" w:space="0"/>
            </w:tcBorders>
            <w:noWrap w:val="0"/>
            <w:vAlign w:val="center"/>
          </w:tcPr>
          <w:p>
            <w:pPr>
              <w:snapToGrid w:val="0"/>
              <w:spacing w:before="78" w:beforeLines="25" w:after="78" w:afterLines="25"/>
              <w:jc w:val="center"/>
              <w:rPr>
                <w:rFonts w:ascii="仿宋_GB2312" w:eastAsia="仿宋_GB2312"/>
                <w:sz w:val="24"/>
              </w:rPr>
            </w:pPr>
            <w:r>
              <w:rPr>
                <w:rFonts w:hint="eastAsia" w:ascii="仿宋_GB2312" w:eastAsia="仿宋_GB2312"/>
                <w:sz w:val="24"/>
              </w:rPr>
              <w:t>强制性</w:t>
            </w:r>
          </w:p>
        </w:tc>
        <w:tc>
          <w:tcPr>
            <w:tcW w:w="2378" w:type="dxa"/>
            <w:tcBorders>
              <w:top w:val="single" w:color="auto" w:sz="2" w:space="0"/>
              <w:left w:val="single" w:color="auto" w:sz="4" w:space="0"/>
              <w:bottom w:val="single" w:color="auto" w:sz="2"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GB1 9606-2004 附录E</w:t>
            </w:r>
          </w:p>
        </w:tc>
        <w:tc>
          <w:tcPr>
            <w:tcW w:w="1008" w:type="dxa"/>
            <w:tcBorders>
              <w:top w:val="single" w:color="auto" w:sz="2" w:space="0"/>
              <w:left w:val="single" w:color="auto" w:sz="4" w:space="0"/>
              <w:bottom w:val="single" w:color="auto" w:sz="2" w:space="0"/>
              <w:right w:val="single" w:color="auto" w:sz="4" w:space="0"/>
            </w:tcBorders>
            <w:noWrap w:val="0"/>
            <w:vAlign w:val="center"/>
          </w:tcPr>
          <w:p>
            <w:pPr>
              <w:snapToGrid w:val="0"/>
              <w:jc w:val="cente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9189" w:type="dxa"/>
            <w:gridSpan w:val="6"/>
            <w:tcBorders>
              <w:top w:val="single" w:color="auto" w:sz="2" w:space="0"/>
              <w:left w:val="single" w:color="auto" w:sz="4" w:space="0"/>
              <w:bottom w:val="single" w:color="auto" w:sz="4" w:space="0"/>
              <w:right w:val="single" w:color="auto" w:sz="4" w:space="0"/>
            </w:tcBorders>
            <w:noWrap w:val="0"/>
            <w:vAlign w:val="center"/>
          </w:tcPr>
          <w:p>
            <w:pPr>
              <w:snapToGrid w:val="0"/>
              <w:jc w:val="left"/>
              <w:rPr>
                <w:rFonts w:ascii="仿宋_GB2312" w:hAnsi="仿宋" w:eastAsia="仿宋_GB2312"/>
                <w:sz w:val="24"/>
              </w:rPr>
            </w:pPr>
            <w:r>
              <w:rPr>
                <w:rFonts w:hint="eastAsia" w:ascii="仿宋_GB2312" w:hAnsi="仿宋" w:eastAsia="仿宋_GB2312"/>
                <w:sz w:val="24"/>
              </w:rPr>
              <w:t>注：第18项噪声只测吸油烟机产品。</w:t>
            </w:r>
          </w:p>
        </w:tc>
      </w:tr>
    </w:tbl>
    <w:p>
      <w:pPr>
        <w:snapToGrid w:val="0"/>
        <w:spacing w:line="540" w:lineRule="exact"/>
        <w:rPr>
          <w:rFonts w:hint="eastAsia" w:ascii="仿宋_GB2312" w:hAnsi="宋体" w:eastAsia="仿宋_GB2312"/>
          <w:b/>
          <w:sz w:val="28"/>
          <w:szCs w:val="28"/>
        </w:rPr>
      </w:pPr>
      <w:r>
        <w:rPr>
          <w:rFonts w:hint="eastAsia" w:ascii="仿宋_GB2312" w:hAnsi="Calibri" w:eastAsia="仿宋_GB2312" w:cs="Sim Sun"/>
          <w:b/>
          <w:kern w:val="0"/>
          <w:sz w:val="28"/>
          <w:szCs w:val="28"/>
        </w:rPr>
        <w:t>6.2 检验应注意的问题</w:t>
      </w:r>
    </w:p>
    <w:p>
      <w:pPr>
        <w:snapToGrid w:val="0"/>
        <w:spacing w:line="540" w:lineRule="exact"/>
        <w:rPr>
          <w:rFonts w:hint="eastAsia" w:ascii="仿宋_GB2312" w:hAnsi="宋体" w:eastAsia="仿宋_GB2312"/>
          <w:iCs/>
          <w:sz w:val="28"/>
          <w:szCs w:val="28"/>
        </w:rPr>
      </w:pPr>
      <w:r>
        <w:rPr>
          <w:rFonts w:hint="eastAsia" w:ascii="仿宋_GB2312" w:hAnsi="Calibri" w:eastAsia="仿宋_GB2312" w:cs="Sim Sun"/>
          <w:b/>
          <w:kern w:val="0"/>
          <w:sz w:val="28"/>
          <w:szCs w:val="28"/>
        </w:rPr>
        <w:t>6.2.1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540" w:lineRule="exact"/>
        <w:rPr>
          <w:rFonts w:hint="eastAsia" w:ascii="仿宋_GB2312" w:eastAsia="仿宋_GB2312" w:cs="Sim Sun"/>
          <w:kern w:val="0"/>
          <w:sz w:val="28"/>
          <w:szCs w:val="28"/>
        </w:rPr>
      </w:pPr>
      <w:r>
        <w:rPr>
          <w:rFonts w:hint="eastAsia" w:ascii="仿宋_GB2312" w:eastAsia="仿宋_GB2312" w:cs="Sim Sun"/>
          <w:b/>
          <w:kern w:val="0"/>
          <w:sz w:val="28"/>
          <w:szCs w:val="28"/>
        </w:rPr>
        <w:t xml:space="preserve">6.2.2 </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540" w:lineRule="exact"/>
        <w:rPr>
          <w:rFonts w:hint="eastAsia" w:ascii="仿宋_GB2312" w:eastAsia="仿宋_GB2312" w:cs="Sim Sun"/>
          <w:kern w:val="0"/>
          <w:sz w:val="28"/>
          <w:szCs w:val="28"/>
        </w:rPr>
      </w:pPr>
      <w:r>
        <w:rPr>
          <w:rFonts w:hint="eastAsia" w:ascii="仿宋_GB2312" w:eastAsia="仿宋_GB2312" w:cs="Sim Sun"/>
          <w:b/>
          <w:kern w:val="0"/>
          <w:sz w:val="28"/>
          <w:szCs w:val="28"/>
        </w:rPr>
        <w:t xml:space="preserve">6.2.3 </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540" w:lineRule="exact"/>
        <w:rPr>
          <w:rFonts w:hint="eastAsia" w:ascii="仿宋_GB2312" w:hAnsi="Calibri" w:eastAsia="仿宋_GB2312" w:cs="Sim Sun"/>
          <w:b/>
          <w:kern w:val="0"/>
          <w:sz w:val="28"/>
          <w:szCs w:val="28"/>
        </w:rPr>
      </w:pPr>
      <w:r>
        <w:rPr>
          <w:rFonts w:hint="eastAsia" w:ascii="仿宋_GB2312" w:hAnsi="Calibri" w:eastAsia="仿宋_GB2312" w:cs="Sim Sun"/>
          <w:b/>
          <w:kern w:val="0"/>
          <w:sz w:val="28"/>
          <w:szCs w:val="28"/>
        </w:rPr>
        <w:t>7 判定原则</w:t>
      </w:r>
    </w:p>
    <w:p>
      <w:pPr>
        <w:snapToGrid w:val="0"/>
        <w:spacing w:line="540" w:lineRule="exact"/>
        <w:ind w:firstLine="560" w:firstLineChars="200"/>
        <w:rPr>
          <w:rFonts w:hint="eastAsia"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540" w:lineRule="exact"/>
        <w:rPr>
          <w:rFonts w:hint="eastAsia" w:ascii="仿宋_GB2312" w:hAnsi="Calibri" w:eastAsia="仿宋_GB2312" w:cs="Sim Sun"/>
          <w:b/>
          <w:kern w:val="0"/>
          <w:sz w:val="28"/>
          <w:szCs w:val="28"/>
        </w:rPr>
      </w:pPr>
      <w:r>
        <w:rPr>
          <w:rFonts w:hint="eastAsia" w:ascii="仿宋_GB2312" w:hAnsi="Calibri" w:eastAsia="仿宋_GB2312" w:cs="Sim Sun"/>
          <w:b/>
          <w:kern w:val="0"/>
          <w:sz w:val="28"/>
          <w:szCs w:val="28"/>
        </w:rPr>
        <w:t>8 异议处理复检</w:t>
      </w:r>
    </w:p>
    <w:p>
      <w:pPr>
        <w:snapToGrid w:val="0"/>
        <w:spacing w:line="540" w:lineRule="exact"/>
        <w:rPr>
          <w:rFonts w:hint="eastAsia" w:ascii="仿宋_GB2312" w:eastAsia="仿宋_GB2312" w:cs="Sim Sun"/>
          <w:iCs/>
          <w:kern w:val="0"/>
          <w:sz w:val="28"/>
          <w:szCs w:val="28"/>
        </w:rPr>
      </w:pPr>
      <w:r>
        <w:rPr>
          <w:rFonts w:hint="eastAsia" w:ascii="仿宋_GB2312" w:eastAsia="仿宋_GB2312" w:cs="Sim Sun"/>
          <w:b/>
          <w:iCs/>
          <w:kern w:val="0"/>
          <w:sz w:val="28"/>
          <w:szCs w:val="28"/>
        </w:rPr>
        <w:t xml:space="preserve">8.1 </w:t>
      </w:r>
      <w:r>
        <w:rPr>
          <w:rFonts w:hint="eastAsia" w:ascii="仿宋_GB2312"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540" w:lineRule="exact"/>
        <w:rPr>
          <w:rFonts w:hint="eastAsia" w:ascii="仿宋_GB2312" w:eastAsia="仿宋_GB2312" w:cs="Sim Sun"/>
          <w:iCs/>
          <w:kern w:val="0"/>
          <w:sz w:val="28"/>
          <w:szCs w:val="28"/>
        </w:rPr>
      </w:pPr>
      <w:r>
        <w:rPr>
          <w:rFonts w:hint="eastAsia" w:ascii="仿宋_GB2312" w:eastAsia="仿宋_GB2312" w:cs="Sim Sun"/>
          <w:b/>
          <w:iCs/>
          <w:kern w:val="0"/>
          <w:sz w:val="28"/>
          <w:szCs w:val="28"/>
        </w:rPr>
        <w:t xml:space="preserve">8.2 </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540" w:lineRule="exact"/>
        <w:rPr>
          <w:rFonts w:hint="eastAsia" w:ascii="仿宋_GB2312" w:eastAsia="仿宋_GB2312" w:cs="Sim Sun"/>
          <w:iCs/>
          <w:kern w:val="0"/>
          <w:sz w:val="28"/>
          <w:szCs w:val="28"/>
        </w:rPr>
      </w:pPr>
      <w:r>
        <w:rPr>
          <w:rFonts w:hint="eastAsia" w:ascii="仿宋_GB2312" w:eastAsia="仿宋_GB2312" w:cs="Sim Sun"/>
          <w:b/>
          <w:kern w:val="0"/>
          <w:sz w:val="28"/>
          <w:szCs w:val="28"/>
        </w:rPr>
        <w:t xml:space="preserve">8.3 </w:t>
      </w:r>
      <w:r>
        <w:rPr>
          <w:rFonts w:hint="eastAsia"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hint="eastAsia" w:ascii="仿宋_GB2312" w:eastAsia="仿宋_GB2312" w:cs="Sim Sun"/>
          <w:iCs/>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若复检机构与初检机构为同一家机构，则复检检验人员与初检检验人员不得为同一人（含审核人员）。</w:t>
      </w:r>
    </w:p>
    <w:p>
      <w:pPr>
        <w:snapToGrid w:val="0"/>
        <w:spacing w:line="540" w:lineRule="exact"/>
        <w:rPr>
          <w:rFonts w:hint="eastAsia" w:ascii="仿宋_GB2312" w:eastAsia="仿宋_GB2312" w:cs="Sim Sun"/>
          <w:iCs/>
          <w:kern w:val="0"/>
          <w:sz w:val="28"/>
          <w:szCs w:val="28"/>
        </w:rPr>
      </w:pPr>
      <w:r>
        <w:rPr>
          <w:rFonts w:hint="eastAsia" w:ascii="仿宋_GB2312" w:eastAsia="仿宋_GB2312" w:cs="Sim Sun"/>
          <w:b/>
          <w:bCs/>
          <w:iCs/>
          <w:kern w:val="0"/>
          <w:sz w:val="28"/>
          <w:szCs w:val="28"/>
        </w:rPr>
        <w:t xml:space="preserve">8.5 </w:t>
      </w:r>
      <w:r>
        <w:rPr>
          <w:rFonts w:hint="eastAsia" w:ascii="仿宋_GB2312" w:eastAsia="仿宋_GB2312" w:cs="Sim Sun"/>
          <w:iCs/>
          <w:kern w:val="0"/>
          <w:sz w:val="28"/>
          <w:szCs w:val="28"/>
        </w:rPr>
        <w:t>需对不合格项目复检时，按6.1选择复检样品。</w:t>
      </w:r>
    </w:p>
    <w:p>
      <w:pPr>
        <w:snapToGrid w:val="0"/>
        <w:spacing w:line="540" w:lineRule="exact"/>
        <w:rPr>
          <w:rFonts w:hint="eastAsia" w:ascii="仿宋_GB2312" w:eastAsia="仿宋_GB2312" w:cs="Sim Sun"/>
          <w:b/>
          <w:iCs/>
          <w:kern w:val="0"/>
          <w:sz w:val="28"/>
          <w:szCs w:val="28"/>
        </w:rPr>
      </w:pPr>
      <w:r>
        <w:rPr>
          <w:rFonts w:hint="eastAsia" w:ascii="仿宋_GB2312" w:eastAsia="仿宋_GB2312" w:cs="Sim Sun"/>
          <w:b/>
          <w:iCs/>
          <w:kern w:val="0"/>
          <w:sz w:val="28"/>
          <w:szCs w:val="28"/>
        </w:rPr>
        <w:t xml:space="preserve">8.6 </w:t>
      </w:r>
      <w:r>
        <w:rPr>
          <w:rFonts w:hint="eastAsia" w:ascii="仿宋_GB2312" w:eastAsia="仿宋_GB2312" w:cs="Sim Sun"/>
          <w:kern w:val="0"/>
          <w:sz w:val="28"/>
          <w:szCs w:val="28"/>
        </w:rPr>
        <w:t>采用备样</w:t>
      </w:r>
      <w:r>
        <w:rPr>
          <w:rFonts w:hint="eastAsia" w:ascii="仿宋_GB2312" w:eastAsia="仿宋_GB2312" w:cs="Sim Sun"/>
          <w:iCs/>
          <w:kern w:val="0"/>
          <w:sz w:val="28"/>
          <w:szCs w:val="28"/>
        </w:rPr>
        <w:t>复检</w:t>
      </w:r>
      <w:r>
        <w:rPr>
          <w:rFonts w:hint="eastAsia" w:ascii="仿宋_GB2312" w:eastAsia="仿宋_GB2312" w:cs="Sim Sun"/>
          <w:kern w:val="0"/>
          <w:sz w:val="28"/>
          <w:szCs w:val="28"/>
        </w:rPr>
        <w:t>时，若备样与原样的结构、布线、元器件等不一致时，检验结果以原检验结果为准。</w:t>
      </w:r>
    </w:p>
    <w:p>
      <w:pPr>
        <w:snapToGrid w:val="0"/>
        <w:spacing w:line="540" w:lineRule="exact"/>
        <w:rPr>
          <w:rFonts w:hint="eastAsia" w:ascii="仿宋_GB2312" w:eastAsia="仿宋_GB2312" w:cs="Sim Sun"/>
          <w:iCs/>
          <w:kern w:val="0"/>
          <w:sz w:val="28"/>
          <w:szCs w:val="28"/>
        </w:rPr>
      </w:pPr>
      <w:r>
        <w:rPr>
          <w:rFonts w:hint="eastAsia" w:ascii="仿宋_GB2312" w:eastAsia="仿宋_GB2312" w:cs="Sim Sun"/>
          <w:b/>
          <w:iCs/>
          <w:kern w:val="0"/>
          <w:sz w:val="28"/>
          <w:szCs w:val="28"/>
        </w:rPr>
        <w:t xml:space="preserve">8.7 </w:t>
      </w:r>
      <w:r>
        <w:rPr>
          <w:rFonts w:hint="eastAsia" w:ascii="仿宋_GB2312" w:eastAsia="仿宋_GB2312" w:cs="Sim Sun"/>
          <w:iCs/>
          <w:kern w:val="0"/>
          <w:sz w:val="28"/>
          <w:szCs w:val="28"/>
        </w:rPr>
        <w:t>深圳市市场监督管理局根据初检、复检结果及企业提交的证明材料，做出复检结论，复检结论为最终结论。</w:t>
      </w:r>
    </w:p>
    <w:p>
      <w:pPr>
        <w:snapToGrid w:val="0"/>
        <w:spacing w:line="540" w:lineRule="exact"/>
        <w:rPr>
          <w:rFonts w:hint="eastAsia" w:ascii="仿宋_GB2312" w:hAnsi="宋体" w:eastAsia="仿宋_GB2312"/>
          <w:b/>
          <w:sz w:val="28"/>
          <w:szCs w:val="28"/>
        </w:rPr>
      </w:pPr>
      <w:r>
        <w:rPr>
          <w:rFonts w:hint="eastAsia" w:ascii="仿宋_GB2312" w:hAnsi="宋体" w:eastAsia="仿宋_GB2312"/>
          <w:b/>
          <w:sz w:val="28"/>
          <w:szCs w:val="28"/>
        </w:rPr>
        <w:t>9 附则</w:t>
      </w:r>
    </w:p>
    <w:p>
      <w:pPr>
        <w:snapToGrid w:val="0"/>
        <w:spacing w:line="540" w:lineRule="exact"/>
        <w:ind w:firstLine="537" w:firstLineChars="192"/>
        <w:rPr>
          <w:rFonts w:hint="eastAsia"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540" w:lineRule="exact"/>
        <w:ind w:firstLine="537" w:firstLineChars="192"/>
        <w:rPr>
          <w:rFonts w:hint="eastAsia" w:ascii="黑体" w:hAnsi="宋体" w:eastAsia="黑体"/>
          <w:sz w:val="32"/>
          <w:szCs w:val="32"/>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022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2020-07-01T07:25:20Z</dcterms:created>
  <dc:creator>changmy</dc:creator>
  <cp:lastModifiedBy>常孟园</cp:lastModifiedBy>
  <dcterms:modified xsi:type="dcterms:W3CDTF">2020-07-01T07:25:40Z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