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spacing w:before="160" w:beforeLines="50" w:line="360" w:lineRule="auto"/>
        <w:jc w:val="center"/>
        <w:rPr>
          <w:rFonts w:ascii="黑体" w:hAnsi="宋体" w:eastAsia="黑体"/>
          <w:sz w:val="36"/>
        </w:rPr>
      </w:pPr>
      <w:r>
        <w:rPr>
          <w:rFonts w:hint="eastAsia" w:ascii="黑体" w:hAnsi="宋体" w:eastAsia="黑体"/>
          <w:sz w:val="36"/>
        </w:rPr>
        <w:t>深圳市市场监督管理局</w:t>
      </w:r>
    </w:p>
    <w:p>
      <w:pPr>
        <w:spacing w:before="160" w:beforeLines="50" w:line="360" w:lineRule="auto"/>
        <w:jc w:val="center"/>
        <w:rPr>
          <w:rFonts w:ascii="黑体" w:hAnsi="宋体" w:eastAsia="黑体"/>
          <w:sz w:val="36"/>
        </w:rPr>
      </w:pPr>
      <w:r>
        <w:rPr>
          <w:rFonts w:hint="eastAsia" w:ascii="黑体" w:hAnsi="宋体" w:eastAsia="黑体"/>
          <w:sz w:val="36"/>
        </w:rPr>
        <w:t>服装产品质量监督抽查实施规范</w:t>
      </w:r>
    </w:p>
    <w:p>
      <w:pPr>
        <w:spacing w:before="240" w:beforeLines="75" w:line="300" w:lineRule="exact"/>
        <w:jc w:val="center"/>
        <w:rPr>
          <w:rFonts w:ascii="黑体" w:hAnsi="宋体" w:eastAsia="黑体"/>
          <w:sz w:val="28"/>
          <w:szCs w:val="28"/>
        </w:rPr>
      </w:pPr>
      <w:r>
        <w:rPr>
          <w:rFonts w:hint="eastAsia" w:ascii="黑体" w:hAnsi="宋体" w:eastAsia="黑体"/>
          <w:sz w:val="28"/>
          <w:szCs w:val="28"/>
        </w:rPr>
        <w:t>编号：CCGF-SZ-043-2020</w:t>
      </w:r>
    </w:p>
    <w:p>
      <w:pPr>
        <w:snapToGrid w:val="0"/>
        <w:spacing w:line="540" w:lineRule="exact"/>
        <w:rPr>
          <w:rFonts w:ascii="仿宋_GB2312" w:hAnsi="宋体" w:eastAsia="仿宋_GB2312"/>
          <w:b/>
          <w:sz w:val="28"/>
          <w:szCs w:val="28"/>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本规范适用于深圳市生产及流通领域服装产品质量监督抽查。</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outlineLvl w:val="0"/>
        <w:rPr>
          <w:rFonts w:ascii="仿宋_GB2312" w:hAnsi="宋体" w:eastAsia="仿宋_GB2312"/>
          <w:b/>
          <w:sz w:val="28"/>
          <w:szCs w:val="28"/>
        </w:rPr>
      </w:pPr>
      <w:r>
        <w:rPr>
          <w:rFonts w:hint="eastAsia" w:ascii="仿宋_GB2312" w:hAnsi="宋体" w:eastAsia="仿宋_GB2312"/>
          <w:b/>
          <w:sz w:val="28"/>
          <w:szCs w:val="28"/>
        </w:rPr>
        <w:t>2 产品种类</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宋体" w:eastAsia="黑体"/>
          <w:sz w:val="28"/>
          <w:szCs w:val="28"/>
        </w:rPr>
      </w:pPr>
      <w:r>
        <w:rPr>
          <w:rFonts w:hint="eastAsia" w:ascii="黑体" w:hAnsi="宋体" w:eastAsia="黑体"/>
          <w:sz w:val="28"/>
          <w:szCs w:val="28"/>
        </w:rPr>
        <w:t>表1  产品种类</w:t>
      </w:r>
    </w:p>
    <w:tbl>
      <w:tblPr>
        <w:tblStyle w:val="5"/>
        <w:tblW w:w="8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371" w:type="dxa"/>
            <w:noWrap w:val="0"/>
            <w:vAlign w:val="center"/>
          </w:tcPr>
          <w:p>
            <w:pPr>
              <w:tabs>
                <w:tab w:val="left" w:pos="4680"/>
              </w:tabs>
              <w:spacing w:line="320" w:lineRule="exact"/>
              <w:ind w:firstLine="120" w:firstLineChars="50"/>
              <w:jc w:val="center"/>
              <w:rPr>
                <w:rFonts w:ascii="黑体" w:hAnsi="宋体" w:eastAsia="黑体"/>
                <w:sz w:val="24"/>
              </w:rPr>
            </w:pPr>
            <w:r>
              <w:rPr>
                <w:rFonts w:hint="eastAsia" w:ascii="黑体" w:hAnsi="宋体" w:eastAsia="黑体"/>
                <w:sz w:val="24"/>
              </w:rPr>
              <w:t>产品种类</w:t>
            </w:r>
          </w:p>
        </w:tc>
        <w:tc>
          <w:tcPr>
            <w:tcW w:w="6004" w:type="dxa"/>
            <w:noWrap w:val="0"/>
            <w:vAlign w:val="center"/>
          </w:tcPr>
          <w:p>
            <w:pPr>
              <w:tabs>
                <w:tab w:val="left" w:pos="4680"/>
              </w:tabs>
              <w:spacing w:line="320" w:lineRule="exact"/>
              <w:ind w:firstLine="120" w:firstLineChars="50"/>
              <w:jc w:val="center"/>
              <w:rPr>
                <w:rFonts w:ascii="黑体" w:eastAsia="黑体"/>
                <w:sz w:val="24"/>
              </w:rPr>
            </w:pPr>
            <w:r>
              <w:rPr>
                <w:rFonts w:hint="eastAsia" w:asci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儿童及婴幼儿服装</w:t>
            </w:r>
          </w:p>
        </w:tc>
        <w:tc>
          <w:tcPr>
            <w:tcW w:w="6004" w:type="dxa"/>
            <w:noWrap w:val="0"/>
            <w:vAlign w:val="center"/>
          </w:tcPr>
          <w:p>
            <w:pPr>
              <w:tabs>
                <w:tab w:val="left" w:pos="4680"/>
              </w:tabs>
              <w:spacing w:line="320" w:lineRule="exact"/>
              <w:jc w:val="center"/>
              <w:rPr>
                <w:rFonts w:ascii="仿宋_GB2312" w:eastAsia="仿宋_GB2312"/>
                <w:sz w:val="24"/>
              </w:rPr>
            </w:pPr>
            <w:r>
              <w:rPr>
                <w:rFonts w:hint="eastAsia" w:ascii="仿宋_GB2312" w:hAnsi="宋体" w:eastAsia="仿宋_GB2312"/>
                <w:sz w:val="24"/>
              </w:rPr>
              <w:t>儿童服装、婴幼儿服装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成人服装</w:t>
            </w:r>
          </w:p>
        </w:tc>
        <w:tc>
          <w:tcPr>
            <w:tcW w:w="6004"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羊绒针织品、毛针织品、西服、大衣、休闲服装、内衣、衬衫、运动服装、羽绒服装、泳装、泳帽等成人服装。</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婴幼儿纺织产品：年龄在36个月及以下的婴幼儿穿着或使用的纺织产品（一般适用于身高100cm及以下婴幼儿穿着或使用的纺织产品）。</w:t>
      </w:r>
    </w:p>
    <w:p>
      <w:pPr>
        <w:snapToGrid w:val="0"/>
        <w:spacing w:line="540" w:lineRule="exact"/>
        <w:ind w:firstLine="560" w:firstLineChars="200"/>
        <w:rPr>
          <w:rFonts w:hint="eastAsia" w:ascii="仿宋_GB2312" w:hAnsi="ˎ̥" w:eastAsia="仿宋_GB2312"/>
          <w:sz w:val="28"/>
          <w:szCs w:val="28"/>
        </w:rPr>
      </w:pPr>
      <w:r>
        <w:rPr>
          <w:rFonts w:hint="eastAsia" w:ascii="仿宋_GB2312" w:hAnsi="宋体" w:eastAsia="仿宋_GB2312"/>
          <w:sz w:val="28"/>
          <w:szCs w:val="28"/>
        </w:rPr>
        <w:t>儿童纺织产品：年龄在3岁以上，14岁及以下的儿童穿着或使用的纺织产品（一般适用于身高100cm以上，155cm及以下女童或160cm及以下男童穿着或使用的纺织产品）。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本规范中未列出的术语和定义同相关引用标准。</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检验依据见表2。</w:t>
      </w:r>
    </w:p>
    <w:p>
      <w:pPr>
        <w:snapToGrid w:val="0"/>
        <w:jc w:val="center"/>
        <w:rPr>
          <w:rFonts w:ascii="黑体" w:hAnsi="宋体" w:eastAsia="黑体"/>
          <w:sz w:val="28"/>
          <w:szCs w:val="28"/>
        </w:rPr>
      </w:pPr>
      <w:r>
        <w:rPr>
          <w:rFonts w:hint="eastAsia" w:ascii="黑体" w:hAnsi="宋体" w:eastAsia="黑体"/>
          <w:sz w:val="28"/>
          <w:szCs w:val="28"/>
        </w:rPr>
        <w:t>表2  检验依据</w:t>
      </w:r>
    </w:p>
    <w:tbl>
      <w:tblPr>
        <w:tblStyle w:val="5"/>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标准号</w:t>
            </w:r>
          </w:p>
        </w:tc>
        <w:tc>
          <w:tcPr>
            <w:tcW w:w="420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标准名称</w:t>
            </w:r>
          </w:p>
        </w:tc>
        <w:tc>
          <w:tcPr>
            <w:tcW w:w="2794"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18401</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国家纺织产品基本安全技术规范</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31701</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婴幼儿及儿童纺织产品安全技术规范</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20400</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皮革和毛皮有害物质限量</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29862</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纺织品 纤维含量的标识</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相关产品的强制性标准、行业标准、政府法规及产品的明示标准（包括企业标准）和明示担保内容。</w:t>
      </w:r>
    </w:p>
    <w:p>
      <w:pPr>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抽取样品的数量不得超过检验、复检的合理需要，具体数量见表3。</w:t>
      </w:r>
    </w:p>
    <w:p>
      <w:pPr>
        <w:snapToGrid w:val="0"/>
        <w:spacing w:before="160" w:beforeLines="50"/>
        <w:jc w:val="center"/>
        <w:rPr>
          <w:rFonts w:ascii="黑体" w:hAnsi="宋体" w:eastAsia="黑体"/>
          <w:sz w:val="28"/>
          <w:szCs w:val="28"/>
        </w:rPr>
      </w:pPr>
      <w:r>
        <w:rPr>
          <w:rFonts w:hint="eastAsia" w:ascii="黑体" w:hAnsi="宋体" w:eastAsia="黑体"/>
          <w:sz w:val="28"/>
          <w:szCs w:val="28"/>
        </w:rPr>
        <w:t>表3  每批次样品数量要求</w:t>
      </w:r>
    </w:p>
    <w:tbl>
      <w:tblPr>
        <w:tblStyle w:val="5"/>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50"/>
        <w:gridCol w:w="215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09"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类别</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品种</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2151"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儿童及婴幼儿服装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内衣（背心类）、内裤、泳装、泳帽等</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7件（条、套）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 xml:space="preserve">2件（条、套）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其他婴幼儿服装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其他儿童服装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成人服装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内衣（包括文胸、塑身内衣、腹带）</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内裤</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7条</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泳装（连体式）</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分体式泳衣、泳裤</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6件（条、套）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泳帽</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5件（套）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0" w:type="dxa"/>
            <w:gridSpan w:val="4"/>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备注：如需检测水洗后相关实验，检验样品及备用样品数量增加3件（套）。</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napToGrid w:val="0"/>
        <w:spacing w:line="540" w:lineRule="exact"/>
        <w:rPr>
          <w:rFonts w:ascii="仿宋_GB2312" w:hAnsi="宋体" w:eastAsia="仿宋_GB2312"/>
          <w:b/>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宋体"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（一）儿童及婴幼儿服装</w:t>
      </w:r>
    </w:p>
    <w:p>
      <w:pPr>
        <w:snapToGrid w:val="0"/>
        <w:spacing w:line="540" w:lineRule="exact"/>
        <w:jc w:val="center"/>
        <w:rPr>
          <w:rFonts w:ascii="黑体" w:hAnsi="宋体" w:eastAsia="黑体"/>
          <w:sz w:val="28"/>
          <w:szCs w:val="28"/>
        </w:rPr>
      </w:pPr>
      <w:r>
        <w:rPr>
          <w:rFonts w:hint="eastAsia" w:ascii="黑体" w:hAnsi="宋体" w:eastAsia="黑体"/>
          <w:sz w:val="28"/>
          <w:szCs w:val="28"/>
        </w:rPr>
        <w:t>表4  儿童及婴幼儿服装检验项目、依据及方法等要求</w:t>
      </w:r>
    </w:p>
    <w:tbl>
      <w:tblPr>
        <w:tblStyle w:val="5"/>
        <w:tblW w:w="9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832"/>
        <w:gridCol w:w="1923"/>
        <w:gridCol w:w="1130"/>
        <w:gridCol w:w="176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序号</w:t>
            </w:r>
          </w:p>
        </w:tc>
        <w:tc>
          <w:tcPr>
            <w:tcW w:w="2832"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检验项目</w:t>
            </w:r>
          </w:p>
        </w:tc>
        <w:tc>
          <w:tcPr>
            <w:tcW w:w="1923" w:type="dxa"/>
            <w:noWrap w:val="0"/>
            <w:vAlign w:val="center"/>
          </w:tcPr>
          <w:p>
            <w:pPr>
              <w:snapToGrid w:val="0"/>
              <w:spacing w:before="80" w:beforeLines="25" w:after="80" w:afterLines="25"/>
              <w:jc w:val="center"/>
              <w:rPr>
                <w:rFonts w:ascii="黑体" w:hAnsi="宋体" w:eastAsia="黑体"/>
                <w:sz w:val="24"/>
              </w:rPr>
            </w:pPr>
            <w:r>
              <w:rPr>
                <w:rFonts w:hint="eastAsia" w:ascii="黑体" w:hAnsi="宋体" w:eastAsia="黑体"/>
                <w:sz w:val="24"/>
              </w:rPr>
              <w:t>依据法律法规</w:t>
            </w:r>
          </w:p>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或标准条款</w:t>
            </w:r>
          </w:p>
        </w:tc>
        <w:tc>
          <w:tcPr>
            <w:tcW w:w="1130" w:type="dxa"/>
            <w:noWrap w:val="0"/>
            <w:vAlign w:val="center"/>
          </w:tcPr>
          <w:p>
            <w:pPr>
              <w:pStyle w:val="2"/>
              <w:snapToGrid w:val="0"/>
              <w:spacing w:before="80" w:beforeLines="25" w:after="80" w:afterLines="25"/>
              <w:jc w:val="center"/>
              <w:rPr>
                <w:rFonts w:hint="eastAsia" w:ascii="黑体" w:hAnsi="宋体" w:eastAsia="黑体"/>
                <w:sz w:val="24"/>
                <w:szCs w:val="24"/>
              </w:rPr>
            </w:pPr>
            <w:r>
              <w:rPr>
                <w:rFonts w:hint="eastAsia" w:ascii="黑体" w:hAnsi="宋体" w:eastAsia="黑体"/>
                <w:sz w:val="24"/>
                <w:szCs w:val="24"/>
              </w:rPr>
              <w:t>项目性质</w:t>
            </w:r>
          </w:p>
        </w:tc>
        <w:tc>
          <w:tcPr>
            <w:tcW w:w="1766"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检测方法</w:t>
            </w:r>
          </w:p>
        </w:tc>
        <w:tc>
          <w:tcPr>
            <w:tcW w:w="1560"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560"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923" w:type="dxa"/>
            <w:noWrap w:val="0"/>
            <w:vAlign w:val="center"/>
          </w:tcPr>
          <w:p>
            <w:pPr>
              <w:pStyle w:val="2"/>
              <w:snapToGrid w:val="0"/>
              <w:spacing w:before="80" w:beforeLines="25" w:after="80"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560"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560" w:type="dxa"/>
            <w:vMerge w:val="restart"/>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923" w:type="dxa"/>
            <w:noWrap w:val="0"/>
            <w:vAlign w:val="center"/>
          </w:tcPr>
          <w:p>
            <w:pPr>
              <w:pStyle w:val="2"/>
              <w:snapToGrid w:val="0"/>
              <w:spacing w:before="80" w:beforeLines="25" w:after="80"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560" w:type="dxa"/>
            <w:vMerge w:val="continue"/>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耐唾液色牢度</w:t>
            </w:r>
            <w:r>
              <w:rPr>
                <w:rFonts w:hint="eastAsia" w:ascii="仿宋_GB2312" w:hAnsi="宋体" w:eastAsia="仿宋_GB2312"/>
                <w:sz w:val="24"/>
                <w:szCs w:val="24"/>
                <w:vertAlign w:val="superscript"/>
              </w:rPr>
              <w:t>1</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18886</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重金属（铅、镉）</w:t>
            </w:r>
            <w:r>
              <w:rPr>
                <w:rFonts w:hint="eastAsia" w:ascii="仿宋_GB2312" w:hAnsi="宋体" w:eastAsia="仿宋_GB2312"/>
                <w:sz w:val="24"/>
                <w:szCs w:val="24"/>
                <w:vertAlign w:val="superscript"/>
              </w:rPr>
              <w:t>2</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3</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4</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5</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附件锐利性</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绳带要求</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4.4.3</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目测、尺量</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其他要求（锐利物和耐久性标签位置）</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4.5</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6</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可萃取重金属含量</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衣带缝纫强力</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纽扣等不可拆卸附件拉力（或纽扣缝纫强力）</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耐光色牢度</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8427</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起球</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接缝性能</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水洗尺寸变化率</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水洗后扭曲率</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水洗后外观</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充绒量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含绒量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绒子含量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32</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羽绒种类</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33</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鸭毛（绒）含量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34</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羽绒耗氧量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35</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蓬松度</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36</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防钻绒性</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37</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羽绒微生物</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38</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耐海水色牢度</w:t>
            </w:r>
            <w:r>
              <w:rPr>
                <w:rFonts w:hint="eastAsia" w:ascii="仿宋_GB2312" w:hAnsi="宋体" w:eastAsia="仿宋_GB2312"/>
                <w:sz w:val="24"/>
                <w:szCs w:val="24"/>
                <w:vertAlign w:val="superscript"/>
              </w:rPr>
              <w:t>8</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5714</w:t>
            </w:r>
          </w:p>
        </w:tc>
        <w:tc>
          <w:tcPr>
            <w:tcW w:w="156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39</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耐氯化水（游泳池水）色牢度</w:t>
            </w:r>
            <w:r>
              <w:rPr>
                <w:rFonts w:hint="eastAsia" w:ascii="仿宋_GB2312" w:hAnsi="宋体" w:eastAsia="仿宋_GB2312"/>
                <w:sz w:val="24"/>
                <w:szCs w:val="24"/>
                <w:vertAlign w:val="superscript"/>
              </w:rPr>
              <w:t>8</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tc>
        <w:tc>
          <w:tcPr>
            <w:tcW w:w="156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40</w:t>
            </w:r>
          </w:p>
        </w:tc>
        <w:tc>
          <w:tcPr>
            <w:tcW w:w="283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耐氯化水（游泳池水）拉伸弹性回复率</w:t>
            </w:r>
            <w:r>
              <w:rPr>
                <w:rFonts w:hint="eastAsia" w:ascii="仿宋_GB2312" w:hAnsi="宋体" w:eastAsia="仿宋_GB2312"/>
                <w:sz w:val="24"/>
                <w:szCs w:val="24"/>
                <w:vertAlign w:val="superscript"/>
              </w:rPr>
              <w:t>8</w:t>
            </w:r>
          </w:p>
        </w:tc>
        <w:tc>
          <w:tcPr>
            <w:tcW w:w="1923"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70006</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67" w:type="dxa"/>
            <w:gridSpan w:val="6"/>
            <w:noWrap w:val="0"/>
            <w:vAlign w:val="center"/>
          </w:tcPr>
          <w:p>
            <w:pPr>
              <w:pStyle w:val="2"/>
              <w:snapToGrid w:val="0"/>
              <w:spacing w:before="80" w:beforeLines="25" w:after="80" w:afterLines="25"/>
              <w:jc w:val="left"/>
              <w:rPr>
                <w:rFonts w:ascii="仿宋_GB2312" w:hAnsi="宋体" w:eastAsia="仿宋_GB2312"/>
                <w:sz w:val="24"/>
                <w:szCs w:val="24"/>
              </w:rPr>
            </w:pPr>
            <w:r>
              <w:rPr>
                <w:rFonts w:hint="eastAsia" w:ascii="仿宋_GB2312" w:hAnsi="宋体" w:eastAsia="仿宋_GB2312"/>
                <w:sz w:val="24"/>
                <w:szCs w:val="24"/>
              </w:rPr>
              <w:t>注：</w:t>
            </w:r>
          </w:p>
          <w:p>
            <w:pPr>
              <w:pStyle w:val="7"/>
              <w:widowControl/>
              <w:adjustRightInd/>
              <w:snapToGrid/>
              <w:jc w:val="left"/>
              <w:rPr>
                <w:rFonts w:hAnsi="宋体" w:cs="宋体"/>
                <w:bCs/>
                <w:color w:val="auto"/>
                <w:kern w:val="2"/>
                <w:sz w:val="24"/>
              </w:rPr>
            </w:pPr>
            <w:r>
              <w:rPr>
                <w:rFonts w:hint="eastAsia" w:hAnsi="宋体" w:cs="宋体"/>
                <w:bCs/>
                <w:color w:val="auto"/>
                <w:kern w:val="2"/>
                <w:sz w:val="24"/>
              </w:rPr>
              <w:t>1.</w:t>
            </w:r>
            <w:r>
              <w:rPr>
                <w:rFonts w:hint="eastAsia" w:hAnsi="宋体" w:cs="宋体"/>
                <w:bCs/>
                <w:color w:val="auto"/>
                <w:sz w:val="24"/>
              </w:rPr>
              <w:t>耐唾液色牢度仅考核婴幼儿纺织产品</w:t>
            </w:r>
            <w:r>
              <w:rPr>
                <w:rFonts w:hint="eastAsia" w:hAnsi="宋体" w:cs="宋体"/>
                <w:bCs/>
                <w:color w:val="auto"/>
                <w:kern w:val="2"/>
                <w:sz w:val="24"/>
              </w:rPr>
              <w:t>。</w:t>
            </w:r>
          </w:p>
          <w:p>
            <w:pPr>
              <w:pStyle w:val="7"/>
              <w:widowControl/>
              <w:adjustRightInd/>
              <w:snapToGrid/>
              <w:ind w:left="720" w:hanging="720" w:hangingChars="300"/>
              <w:jc w:val="left"/>
              <w:rPr>
                <w:rFonts w:hAnsi="宋体" w:cs="宋体"/>
                <w:bCs/>
                <w:color w:val="auto"/>
                <w:kern w:val="2"/>
                <w:sz w:val="24"/>
              </w:rPr>
            </w:pPr>
            <w:r>
              <w:rPr>
                <w:rFonts w:hint="eastAsia" w:hAnsi="宋体" w:cs="宋体"/>
                <w:bCs/>
                <w:color w:val="auto"/>
                <w:kern w:val="2"/>
                <w:sz w:val="24"/>
              </w:rPr>
              <w:t>2.重金属仅考核含有涂层和涂料印染的织物，指标为铅、镉总量占涂层或涂料质量的比值。</w:t>
            </w:r>
          </w:p>
          <w:p>
            <w:pPr>
              <w:pStyle w:val="7"/>
              <w:widowControl/>
              <w:adjustRightInd/>
              <w:snapToGrid/>
              <w:jc w:val="left"/>
              <w:rPr>
                <w:rFonts w:hAnsi="宋体" w:cs="宋体"/>
                <w:bCs/>
                <w:color w:val="auto"/>
                <w:kern w:val="2"/>
                <w:sz w:val="24"/>
              </w:rPr>
            </w:pPr>
            <w:r>
              <w:rPr>
                <w:rFonts w:hint="eastAsia" w:hAnsi="宋体" w:cs="宋体"/>
                <w:bCs/>
                <w:color w:val="auto"/>
                <w:kern w:val="2"/>
                <w:sz w:val="24"/>
              </w:rPr>
              <w:t>3.邻苯二甲酸酯仅考核含有涂层和涂料印染的织物。</w:t>
            </w:r>
          </w:p>
          <w:p>
            <w:pPr>
              <w:pStyle w:val="7"/>
              <w:widowControl/>
              <w:adjustRightInd/>
              <w:snapToGrid/>
              <w:jc w:val="left"/>
              <w:rPr>
                <w:rFonts w:hAnsi="宋体" w:cs="宋体"/>
                <w:bCs/>
                <w:color w:val="auto"/>
                <w:sz w:val="24"/>
              </w:rPr>
            </w:pPr>
            <w:r>
              <w:rPr>
                <w:rFonts w:hint="eastAsia" w:hAnsi="宋体" w:cs="宋体"/>
                <w:bCs/>
                <w:color w:val="auto"/>
                <w:sz w:val="24"/>
              </w:rPr>
              <w:t>4.燃烧性能仅考核产品的外层面料；羊毛、腈纶、改性腈纶、锦纶、丙纶和聚酯纤维的纯纺织物，以及由这些纤维混纺的织物不考核；单位面积质量大于90g/m2的织物不考核。</w:t>
            </w:r>
          </w:p>
          <w:p>
            <w:pPr>
              <w:pStyle w:val="7"/>
              <w:widowControl/>
              <w:adjustRightInd/>
              <w:snapToGrid/>
              <w:jc w:val="left"/>
              <w:rPr>
                <w:rFonts w:hAnsi="宋体" w:cs="宋体"/>
                <w:bCs/>
                <w:color w:val="auto"/>
                <w:sz w:val="24"/>
              </w:rPr>
            </w:pPr>
            <w:r>
              <w:rPr>
                <w:rFonts w:hint="eastAsia" w:hAnsi="宋体" w:cs="宋体"/>
                <w:bCs/>
                <w:color w:val="auto"/>
                <w:kern w:val="2"/>
                <w:sz w:val="24"/>
              </w:rPr>
              <w:t>5.</w:t>
            </w:r>
            <w:r>
              <w:rPr>
                <w:rFonts w:hint="eastAsia" w:hAnsi="宋体" w:cs="宋体"/>
                <w:bCs/>
                <w:color w:val="auto"/>
                <w:sz w:val="24"/>
              </w:rPr>
              <w:t>附件抗拉强力仅考核婴幼儿纺织产品。</w:t>
            </w:r>
          </w:p>
          <w:p>
            <w:pPr>
              <w:pStyle w:val="7"/>
              <w:widowControl/>
              <w:adjustRightInd/>
              <w:snapToGrid/>
              <w:jc w:val="left"/>
              <w:rPr>
                <w:rFonts w:hAnsi="宋体" w:cs="宋体"/>
                <w:bCs/>
                <w:color w:val="auto"/>
                <w:sz w:val="24"/>
              </w:rPr>
            </w:pPr>
            <w:r>
              <w:rPr>
                <w:rFonts w:hint="eastAsia" w:hAnsi="宋体" w:cs="宋体"/>
                <w:bCs/>
                <w:color w:val="auto"/>
                <w:sz w:val="24"/>
              </w:rPr>
              <w:t>6.纤维含量仅考核产品明示标注有纤维含量信息的产品。</w:t>
            </w:r>
          </w:p>
          <w:p>
            <w:pPr>
              <w:pStyle w:val="7"/>
              <w:widowControl/>
              <w:adjustRightInd/>
              <w:snapToGrid/>
              <w:jc w:val="left"/>
              <w:rPr>
                <w:rFonts w:hAnsi="宋体" w:cs="宋体"/>
                <w:bCs/>
                <w:color w:val="auto"/>
                <w:sz w:val="24"/>
              </w:rPr>
            </w:pPr>
            <w:r>
              <w:rPr>
                <w:rFonts w:hint="eastAsia" w:hAnsi="宋体" w:cs="宋体"/>
                <w:bCs/>
                <w:color w:val="auto"/>
                <w:sz w:val="24"/>
              </w:rPr>
              <w:t>7.序号29-37项目仅考核羽绒服装产品。</w:t>
            </w:r>
          </w:p>
          <w:p>
            <w:pPr>
              <w:pStyle w:val="7"/>
              <w:widowControl/>
              <w:adjustRightInd/>
              <w:snapToGrid/>
              <w:jc w:val="left"/>
              <w:rPr>
                <w:rFonts w:hAnsi="宋体" w:cs="宋体"/>
                <w:bCs/>
                <w:color w:val="auto"/>
                <w:sz w:val="24"/>
              </w:rPr>
            </w:pPr>
            <w:r>
              <w:rPr>
                <w:rFonts w:hint="eastAsia" w:hAnsi="宋体" w:cs="宋体"/>
                <w:bCs/>
                <w:color w:val="auto"/>
                <w:sz w:val="24"/>
              </w:rPr>
              <w:t>8.序号38-40项目仅考核泳装、泳衣、泳裤及泳帽产品。</w:t>
            </w:r>
          </w:p>
          <w:p>
            <w:pPr>
              <w:pStyle w:val="2"/>
              <w:jc w:val="left"/>
              <w:rPr>
                <w:rFonts w:ascii="仿宋_GB2312" w:hAnsi="宋体" w:eastAsia="仿宋_GB2312"/>
                <w:sz w:val="24"/>
                <w:szCs w:val="24"/>
              </w:rPr>
            </w:pPr>
            <w:r>
              <w:rPr>
                <w:rFonts w:hint="eastAsia" w:ascii="仿宋_GB2312" w:hAnsi="宋体" w:eastAsia="仿宋_GB2312" w:cs="宋体"/>
                <w:bCs/>
                <w:kern w:val="0"/>
                <w:sz w:val="24"/>
                <w:szCs w:val="24"/>
              </w:rPr>
              <w:t>9.序号26-29项目复检时，选择备样作为复检样品，</w:t>
            </w:r>
            <w:r>
              <w:rPr>
                <w:rFonts w:hint="eastAsia" w:ascii="仿宋_GB2312" w:hAnsi="宋体" w:eastAsia="仿宋_GB2312"/>
                <w:sz w:val="24"/>
                <w:szCs w:val="24"/>
              </w:rPr>
              <w:t>羽绒微生物项目不予复检</w:t>
            </w:r>
            <w:r>
              <w:rPr>
                <w:rFonts w:hint="eastAsia" w:ascii="仿宋_GB2312" w:hAnsi="宋体" w:eastAsia="仿宋_GB2312" w:cs="宋体"/>
                <w:bCs/>
                <w:kern w:val="0"/>
                <w:sz w:val="24"/>
                <w:szCs w:val="24"/>
              </w:rPr>
              <w:t>，其他项目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（二）成人服装</w:t>
      </w:r>
    </w:p>
    <w:p>
      <w:pPr>
        <w:snapToGrid w:val="0"/>
        <w:spacing w:line="540" w:lineRule="exact"/>
        <w:jc w:val="center"/>
        <w:rPr>
          <w:rFonts w:ascii="黑体" w:hAnsi="宋体" w:eastAsia="黑体"/>
          <w:sz w:val="28"/>
          <w:szCs w:val="28"/>
        </w:rPr>
      </w:pPr>
      <w:r>
        <w:rPr>
          <w:rFonts w:hint="eastAsia" w:ascii="黑体" w:hAnsi="宋体" w:eastAsia="黑体"/>
          <w:sz w:val="28"/>
          <w:szCs w:val="28"/>
        </w:rPr>
        <w:t>表5 成人服装检验项目、依据及方法等要求</w:t>
      </w:r>
    </w:p>
    <w:tbl>
      <w:tblPr>
        <w:tblStyle w:val="5"/>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451"/>
        <w:gridCol w:w="1777"/>
        <w:gridCol w:w="1005"/>
        <w:gridCol w:w="179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blHeader/>
          <w:jc w:val="center"/>
        </w:trPr>
        <w:tc>
          <w:tcPr>
            <w:tcW w:w="457"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序号</w:t>
            </w:r>
          </w:p>
        </w:tc>
        <w:tc>
          <w:tcPr>
            <w:tcW w:w="2451"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检验项目</w:t>
            </w:r>
          </w:p>
        </w:tc>
        <w:tc>
          <w:tcPr>
            <w:tcW w:w="1777" w:type="dxa"/>
            <w:noWrap w:val="0"/>
            <w:vAlign w:val="center"/>
          </w:tcPr>
          <w:p>
            <w:pPr>
              <w:snapToGrid w:val="0"/>
              <w:spacing w:before="80" w:beforeLines="25" w:after="80" w:afterLines="25"/>
              <w:jc w:val="center"/>
              <w:rPr>
                <w:rFonts w:ascii="黑体" w:hAnsi="宋体" w:eastAsia="黑体"/>
                <w:sz w:val="24"/>
              </w:rPr>
            </w:pPr>
            <w:r>
              <w:rPr>
                <w:rFonts w:hint="eastAsia" w:ascii="黑体" w:hAnsi="宋体" w:eastAsia="黑体"/>
                <w:sz w:val="24"/>
              </w:rPr>
              <w:t>依据法律法规</w:t>
            </w:r>
          </w:p>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或标准条款</w:t>
            </w:r>
          </w:p>
        </w:tc>
        <w:tc>
          <w:tcPr>
            <w:tcW w:w="1005" w:type="dxa"/>
            <w:noWrap w:val="0"/>
            <w:vAlign w:val="center"/>
          </w:tcPr>
          <w:p>
            <w:pPr>
              <w:pStyle w:val="2"/>
              <w:snapToGrid w:val="0"/>
              <w:spacing w:before="80" w:beforeLines="25" w:after="80" w:afterLines="25"/>
              <w:jc w:val="center"/>
              <w:rPr>
                <w:rFonts w:hint="eastAsia" w:ascii="黑体" w:hAnsi="宋体" w:eastAsia="黑体"/>
                <w:sz w:val="24"/>
                <w:szCs w:val="24"/>
              </w:rPr>
            </w:pPr>
            <w:r>
              <w:rPr>
                <w:rFonts w:hint="eastAsia" w:ascii="黑体" w:hAnsi="宋体" w:eastAsia="黑体"/>
                <w:sz w:val="24"/>
                <w:szCs w:val="24"/>
              </w:rPr>
              <w:t>项目性质</w:t>
            </w:r>
          </w:p>
        </w:tc>
        <w:tc>
          <w:tcPr>
            <w:tcW w:w="1797"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检测方法</w:t>
            </w:r>
          </w:p>
        </w:tc>
        <w:tc>
          <w:tcPr>
            <w:tcW w:w="1617"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617"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617"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617" w:type="dxa"/>
            <w:vMerge w:val="restart"/>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457"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617" w:type="dxa"/>
            <w:vMerge w:val="continue"/>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1</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耐光色牢度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8427</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耐光、汗复合色牢度</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14576</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拼接互染</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起球</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接缝性能</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顶破强力</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撕破强力</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拉伸弹性回复率</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水洗尺寸变化率</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水洗后扭曲率</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水洗后外观</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充绒量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含绒量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绒子含量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羽绒种类</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鸭毛（绒）含量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耗氧量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蓬松度</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防钻绒性</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羽绒微生物</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32</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耐海水色牢度</w:t>
            </w:r>
            <w:r>
              <w:rPr>
                <w:rFonts w:hint="eastAsia" w:ascii="仿宋_GB2312" w:hAnsi="宋体" w:eastAsia="仿宋_GB2312"/>
                <w:sz w:val="24"/>
                <w:szCs w:val="24"/>
                <w:vertAlign w:val="superscript"/>
              </w:rPr>
              <w:t>3</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5714</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33</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耐氯化水（游泳池水）色牢度</w:t>
            </w:r>
            <w:r>
              <w:rPr>
                <w:rFonts w:hint="eastAsia" w:ascii="仿宋_GB2312" w:hAnsi="宋体" w:eastAsia="仿宋_GB2312"/>
                <w:sz w:val="24"/>
                <w:szCs w:val="24"/>
                <w:vertAlign w:val="superscript"/>
              </w:rPr>
              <w:t>3</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34</w:t>
            </w:r>
          </w:p>
        </w:tc>
        <w:tc>
          <w:tcPr>
            <w:tcW w:w="2451"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耐氯化水（游泳池水）拉伸弹性回复率</w:t>
            </w:r>
            <w:r>
              <w:rPr>
                <w:rFonts w:hint="eastAsia" w:ascii="仿宋_GB2312" w:hAnsi="宋体" w:eastAsia="仿宋_GB2312"/>
                <w:sz w:val="24"/>
                <w:szCs w:val="24"/>
                <w:vertAlign w:val="superscript"/>
              </w:rPr>
              <w:t>3</w:t>
            </w:r>
          </w:p>
        </w:tc>
        <w:tc>
          <w:tcPr>
            <w:tcW w:w="177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70006</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04" w:type="dxa"/>
            <w:gridSpan w:val="6"/>
            <w:noWrap w:val="0"/>
            <w:vAlign w:val="center"/>
          </w:tcPr>
          <w:p>
            <w:pPr>
              <w:pStyle w:val="2"/>
              <w:snapToGrid w:val="0"/>
              <w:spacing w:before="80" w:beforeLines="25" w:after="80" w:afterLines="25"/>
              <w:jc w:val="left"/>
              <w:rPr>
                <w:rFonts w:ascii="仿宋_GB2312" w:hAnsi="宋体" w:eastAsia="仿宋_GB2312"/>
                <w:sz w:val="24"/>
                <w:szCs w:val="24"/>
              </w:rPr>
            </w:pPr>
            <w:r>
              <w:rPr>
                <w:rFonts w:hint="eastAsia" w:ascii="仿宋_GB2312" w:hAnsi="宋体" w:eastAsia="仿宋_GB2312"/>
                <w:sz w:val="24"/>
                <w:szCs w:val="24"/>
              </w:rPr>
              <w:t>注：</w:t>
            </w:r>
          </w:p>
          <w:p>
            <w:pPr>
              <w:pStyle w:val="7"/>
              <w:widowControl/>
              <w:jc w:val="left"/>
              <w:rPr>
                <w:rFonts w:hAnsi="宋体" w:cs="宋体"/>
                <w:bCs/>
                <w:color w:val="auto"/>
                <w:sz w:val="24"/>
              </w:rPr>
            </w:pPr>
            <w:r>
              <w:rPr>
                <w:rFonts w:hint="eastAsia" w:hAnsi="宋体" w:cs="宋体"/>
                <w:bCs/>
                <w:color w:val="auto"/>
                <w:sz w:val="24"/>
              </w:rPr>
              <w:t>1.纤维含量仅考核产品明示标注有纤维含量信息的产品。</w:t>
            </w:r>
          </w:p>
          <w:p>
            <w:pPr>
              <w:pStyle w:val="7"/>
              <w:widowControl/>
              <w:jc w:val="left"/>
              <w:rPr>
                <w:rFonts w:hAnsi="宋体" w:cs="宋体"/>
                <w:bCs/>
                <w:color w:val="auto"/>
                <w:sz w:val="24"/>
              </w:rPr>
            </w:pPr>
            <w:r>
              <w:rPr>
                <w:rFonts w:hint="eastAsia" w:hAnsi="宋体" w:cs="宋体"/>
                <w:bCs/>
                <w:color w:val="auto"/>
                <w:sz w:val="24"/>
              </w:rPr>
              <w:t>2.序号23-31项目仅考核羽绒服装产品。</w:t>
            </w:r>
          </w:p>
          <w:p>
            <w:pPr>
              <w:pStyle w:val="7"/>
              <w:widowControl/>
              <w:jc w:val="left"/>
              <w:rPr>
                <w:rFonts w:hAnsi="宋体" w:cs="宋体"/>
                <w:bCs/>
                <w:color w:val="auto"/>
                <w:sz w:val="24"/>
              </w:rPr>
            </w:pPr>
            <w:r>
              <w:rPr>
                <w:rFonts w:hint="eastAsia" w:hAnsi="宋体" w:cs="宋体"/>
                <w:bCs/>
                <w:color w:val="auto"/>
                <w:sz w:val="24"/>
              </w:rPr>
              <w:t>3.序号32-34项目仅考核泳装、泳衣、泳裤及泳帽产品。</w:t>
            </w:r>
          </w:p>
          <w:p>
            <w:pPr>
              <w:pStyle w:val="2"/>
              <w:snapToGrid w:val="0"/>
              <w:jc w:val="left"/>
              <w:rPr>
                <w:rFonts w:ascii="仿宋_GB2312" w:hAnsi="宋体" w:eastAsia="仿宋_GB2312"/>
                <w:sz w:val="24"/>
                <w:szCs w:val="24"/>
              </w:rPr>
            </w:pPr>
            <w:r>
              <w:rPr>
                <w:rFonts w:hint="eastAsia" w:ascii="仿宋_GB2312" w:hAnsi="宋体" w:eastAsia="仿宋_GB2312" w:cs="宋体"/>
                <w:bCs/>
                <w:kern w:val="0"/>
                <w:sz w:val="24"/>
                <w:szCs w:val="24"/>
              </w:rPr>
              <w:t>4.序号20-23项目复检时，选择备样作为复检样品，</w:t>
            </w:r>
            <w:r>
              <w:rPr>
                <w:rFonts w:hint="eastAsia" w:ascii="仿宋_GB2312" w:hAnsi="宋体" w:eastAsia="仿宋_GB2312"/>
                <w:sz w:val="24"/>
                <w:szCs w:val="24"/>
              </w:rPr>
              <w:t>羽绒微生物项目不予复检</w:t>
            </w:r>
            <w:r>
              <w:rPr>
                <w:rFonts w:hint="eastAsia" w:ascii="仿宋_GB2312" w:hAnsi="宋体" w:eastAsia="仿宋_GB2312" w:cs="宋体"/>
                <w:bCs/>
                <w:kern w:val="0"/>
                <w:sz w:val="24"/>
                <w:szCs w:val="24"/>
              </w:rPr>
              <w:t>，其他项目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6.2.1</w:t>
      </w: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样品有局部印花，若取样数量不能满足所有试验要求，应先取重金属和邻苯二甲酸酯试样，然后依次取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、甲醛、色牢度、pH值试样。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0.1mol/L</w:t>
      </w:r>
      <w:r>
        <w:rPr>
          <w:rFonts w:hint="eastAsia" w:ascii="仿宋_GB2312" w:eastAsia="仿宋_GB2312" w:cs="Sim Sun"/>
          <w:kern w:val="0"/>
          <w:sz w:val="28"/>
          <w:szCs w:val="28"/>
        </w:rPr>
        <w:t>氯化钾溶液作为萃取介质，产品标准另有规定的按相应要求执行。</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6.2.6</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6.2.7</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6.2.8</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pacing w:line="540" w:lineRule="exact"/>
        <w:rPr>
          <w:rFonts w:ascii="仿宋_GB2312" w:eastAsia="仿宋_GB2312"/>
          <w:sz w:val="28"/>
          <w:szCs w:val="28"/>
        </w:rPr>
      </w:pPr>
      <w:r>
        <w:rPr>
          <w:rFonts w:hint="eastAsia" w:ascii="仿宋_GB2312" w:eastAsia="仿宋_GB2312"/>
          <w:b/>
          <w:sz w:val="28"/>
          <w:szCs w:val="28"/>
        </w:rPr>
        <w:t>6.2.9</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若被检产品明示的质量要求低于或包含本规范中检验项目依据的推荐性标准要求时，应以被检产品明示的质量要求判定。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9</w:t>
      </w:r>
      <w:r>
        <w:rPr>
          <w:rFonts w:hint="eastAsia" w:ascii="仿宋_GB2312" w:hAnsi="宋体" w:eastAsia="仿宋_GB2312"/>
          <w:b/>
          <w:sz w:val="28"/>
          <w:szCs w:val="28"/>
        </w:rPr>
        <w:tab/>
      </w:r>
      <w:r>
        <w:rPr>
          <w:rFonts w:hint="eastAsia" w:ascii="仿宋_GB2312" w:hAnsi="宋体" w:eastAsia="仿宋_GB2312"/>
          <w:b/>
          <w:sz w:val="28"/>
          <w:szCs w:val="28"/>
        </w:rPr>
        <w:t>附则</w:t>
      </w:r>
    </w:p>
    <w:p>
      <w:pPr>
        <w:snapToGrid w:val="0"/>
        <w:spacing w:line="540" w:lineRule="exact"/>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ind w:firstLine="560" w:firstLineChars="200"/>
      </w:pPr>
      <w:bookmarkStart w:id="0" w:name="_GoBack"/>
      <w:bookmarkEnd w:id="0"/>
      <w:r>
        <w:rPr>
          <w:rFonts w:hint="eastAsia" w:ascii="仿宋_GB2312" w:hAnsi="宋体" w:eastAsia="仿宋_GB2312"/>
          <w:iCs/>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1B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rFonts w:ascii="宋体" w:hAnsi="宋体"/>
      <w:b/>
      <w:szCs w:val="21"/>
    </w:rPr>
  </w:style>
  <w:style w:type="paragraph" w:customStyle="1" w:styleId="7">
    <w:name w:val="表格"/>
    <w:basedOn w:val="1"/>
    <w:qFormat/>
    <w:uiPriority w:val="0"/>
    <w:pPr>
      <w:adjustRightInd w:val="0"/>
      <w:snapToGrid w:val="0"/>
      <w:jc w:val="center"/>
    </w:pPr>
    <w:rPr>
      <w:rFonts w:ascii="仿宋_GB2312" w:eastAsia="仿宋_GB2312"/>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2020-07-01T07:07:16Z</dcterms:created>
  <dc:creator>changmy</dc:creator>
  <cp:lastModifiedBy>常孟园</cp:lastModifiedBy>
  <dcterms:modified xsi:type="dcterms:W3CDTF">2020-07-01T07:07:44Z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