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附件3</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个护健康器具产品质量监督抽查实施规范</w:t>
      </w:r>
    </w:p>
    <w:p>
      <w:pPr>
        <w:spacing w:before="240" w:beforeLines="75" w:line="360" w:lineRule="auto"/>
        <w:jc w:val="center"/>
        <w:rPr>
          <w:rFonts w:ascii="仿宋_GB2312" w:hAnsi="宋体" w:eastAsia="仿宋_GB2312"/>
          <w:b/>
          <w:szCs w:val="21"/>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177</w:t>
      </w:r>
      <w:r>
        <w:rPr>
          <w:rFonts w:ascii="黑体" w:hAnsi="黑体" w:eastAsia="黑体"/>
          <w:sz w:val="28"/>
        </w:rPr>
        <w:t>-</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48" w:firstLineChars="196"/>
        <w:rPr>
          <w:rFonts w:ascii="仿宋_GB2312" w:hAnsi="宋体" w:eastAsia="仿宋_GB2312"/>
          <w:color w:val="FF0000"/>
          <w:sz w:val="28"/>
          <w:szCs w:val="28"/>
        </w:rPr>
      </w:pPr>
      <w:r>
        <w:rPr>
          <w:rFonts w:hint="eastAsia" w:ascii="仿宋_GB2312" w:hAnsi="宋体" w:eastAsia="仿宋_GB2312"/>
          <w:sz w:val="28"/>
          <w:szCs w:val="28"/>
        </w:rPr>
        <w:t>本规范适用于深圳市生产及流通领域个护健康器具产品质量监督抽查。监督抽查产品范围适用于：</w:t>
      </w:r>
      <w:r>
        <w:rPr>
          <w:rFonts w:hint="eastAsia" w:ascii="仿宋_GB2312" w:eastAsia="仿宋_GB2312"/>
          <w:bCs/>
          <w:kern w:val="0"/>
          <w:sz w:val="28"/>
          <w:szCs w:val="28"/>
        </w:rPr>
        <w:t>皮肤毛发护理器具、按摩器具、剃须刀\电推剪及类似器具、电动脱毛器、电动牙刷、电美容仪</w:t>
      </w:r>
      <w:r>
        <w:rPr>
          <w:rFonts w:hint="eastAsia" w:ascii="仿宋_GB2312" w:hAnsi="宋体" w:eastAsia="仿宋_GB2312"/>
          <w:sz w:val="28"/>
          <w:szCs w:val="28"/>
        </w:rPr>
        <w:t>。</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皮肤毛发护理器具</w:t>
            </w:r>
          </w:p>
        </w:tc>
        <w:tc>
          <w:tcPr>
            <w:tcW w:w="6305" w:type="dxa"/>
            <w:noWrap w:val="0"/>
            <w:vAlign w:val="center"/>
          </w:tcPr>
          <w:p>
            <w:pPr>
              <w:autoSpaceDE w:val="0"/>
              <w:autoSpaceDN w:val="0"/>
              <w:adjustRightInd w:val="0"/>
              <w:rPr>
                <w:rFonts w:ascii="宋体" w:hAnsi="宋体" w:eastAsia="仿宋_GB2312" w:cs="宋体"/>
                <w:kern w:val="0"/>
                <w:sz w:val="24"/>
              </w:rPr>
            </w:pPr>
            <w:r>
              <w:rPr>
                <w:rFonts w:hint="eastAsia" w:ascii="宋体" w:hAnsi="宋体" w:eastAsia="仿宋_GB2312" w:cs="宋体"/>
                <w:kern w:val="0"/>
                <w:sz w:val="24"/>
              </w:rPr>
              <w:t>电吹风、直发器、卷发器、面部桑那器、干手器、毛发定型器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按摩器具</w:t>
            </w:r>
          </w:p>
        </w:tc>
        <w:tc>
          <w:tcPr>
            <w:tcW w:w="6305" w:type="dxa"/>
            <w:noWrap w:val="0"/>
            <w:vAlign w:val="center"/>
          </w:tcPr>
          <w:p>
            <w:pPr>
              <w:autoSpaceDE w:val="0"/>
              <w:autoSpaceDN w:val="0"/>
              <w:adjustRightInd w:val="0"/>
              <w:rPr>
                <w:rFonts w:ascii="宋体" w:hAnsi="宋体" w:eastAsia="仿宋_GB2312" w:cs="宋体"/>
                <w:kern w:val="0"/>
                <w:sz w:val="24"/>
              </w:rPr>
            </w:pPr>
            <w:r>
              <w:rPr>
                <w:rFonts w:hint="eastAsia" w:ascii="宋体" w:hAnsi="宋体" w:eastAsia="仿宋_GB2312" w:cs="宋体"/>
                <w:kern w:val="0"/>
                <w:sz w:val="24"/>
              </w:rPr>
              <w:t>脚部按摩器、手持式按摩器、按摩床、按摩带、按摩椅、按摩垫、注水式足部按摩器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剃须刀\电推剪及类似器具</w:t>
            </w:r>
          </w:p>
        </w:tc>
        <w:tc>
          <w:tcPr>
            <w:tcW w:w="6305" w:type="dxa"/>
            <w:noWrap w:val="0"/>
            <w:vAlign w:val="center"/>
          </w:tcPr>
          <w:p>
            <w:pPr>
              <w:autoSpaceDE w:val="0"/>
              <w:autoSpaceDN w:val="0"/>
              <w:adjustRightInd w:val="0"/>
              <w:rPr>
                <w:rFonts w:ascii="仿宋_GB2312" w:eastAsia="仿宋_GB2312" w:cs="宋体"/>
                <w:kern w:val="0"/>
                <w:sz w:val="24"/>
                <w:szCs w:val="21"/>
              </w:rPr>
            </w:pPr>
            <w:r>
              <w:rPr>
                <w:rFonts w:hint="eastAsia" w:ascii="宋体" w:hAnsi="宋体" w:eastAsia="仿宋_GB2312" w:cs="宋体"/>
                <w:kern w:val="0"/>
                <w:sz w:val="24"/>
              </w:rPr>
              <w:t>电剃须刀、电推剪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电动脱毛器</w:t>
            </w:r>
          </w:p>
        </w:tc>
        <w:tc>
          <w:tcPr>
            <w:tcW w:w="6305" w:type="dxa"/>
            <w:noWrap w:val="0"/>
            <w:vAlign w:val="center"/>
          </w:tcPr>
          <w:p>
            <w:pPr>
              <w:autoSpaceDE w:val="0"/>
              <w:autoSpaceDN w:val="0"/>
              <w:adjustRightInd w:val="0"/>
              <w:rPr>
                <w:rFonts w:ascii="仿宋_GB2312" w:eastAsia="仿宋_GB2312" w:cs="宋体"/>
                <w:kern w:val="0"/>
                <w:sz w:val="24"/>
                <w:szCs w:val="21"/>
              </w:rPr>
            </w:pPr>
            <w:r>
              <w:rPr>
                <w:rFonts w:hint="eastAsia" w:ascii="仿宋_GB2312" w:hAnsi="宋体" w:eastAsia="仿宋_GB2312"/>
                <w:sz w:val="24"/>
                <w:szCs w:val="21"/>
              </w:rPr>
              <w:t>电动脱毛器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电动牙刷</w:t>
            </w:r>
          </w:p>
        </w:tc>
        <w:tc>
          <w:tcPr>
            <w:tcW w:w="6305" w:type="dxa"/>
            <w:noWrap w:val="0"/>
            <w:vAlign w:val="center"/>
          </w:tcPr>
          <w:p>
            <w:pPr>
              <w:autoSpaceDE w:val="0"/>
              <w:autoSpaceDN w:val="0"/>
              <w:adjustRightInd w:val="0"/>
              <w:rPr>
                <w:rFonts w:ascii="仿宋_GB2312" w:hAnsi="宋体" w:eastAsia="仿宋_GB2312"/>
                <w:sz w:val="24"/>
                <w:szCs w:val="21"/>
              </w:rPr>
            </w:pPr>
            <w:r>
              <w:rPr>
                <w:rFonts w:hint="eastAsia" w:ascii="仿宋_GB2312" w:hAnsi="宋体" w:eastAsia="仿宋_GB2312"/>
                <w:sz w:val="24"/>
                <w:szCs w:val="21"/>
              </w:rPr>
              <w:t>电动牙刷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电美容仪</w:t>
            </w:r>
          </w:p>
        </w:tc>
        <w:tc>
          <w:tcPr>
            <w:tcW w:w="6305" w:type="dxa"/>
            <w:noWrap w:val="0"/>
            <w:vAlign w:val="center"/>
          </w:tcPr>
          <w:p>
            <w:pPr>
              <w:autoSpaceDE w:val="0"/>
              <w:autoSpaceDN w:val="0"/>
              <w:adjustRightInd w:val="0"/>
              <w:rPr>
                <w:rFonts w:ascii="仿宋_GB2312" w:hAnsi="宋体" w:eastAsia="仿宋_GB2312"/>
                <w:sz w:val="24"/>
                <w:szCs w:val="21"/>
              </w:rPr>
            </w:pPr>
            <w:r>
              <w:rPr>
                <w:rFonts w:hint="eastAsia" w:ascii="仿宋_GB2312" w:hAnsi="宋体" w:eastAsia="仿宋_GB2312"/>
                <w:sz w:val="24"/>
                <w:szCs w:val="21"/>
              </w:rPr>
              <w:t>射频美容仪、电动硅胶洗脸美容仪、微电流美容仪</w:t>
            </w:r>
          </w:p>
        </w:tc>
      </w:tr>
    </w:tbl>
    <w:p>
      <w:pPr>
        <w:snapToGrid w:val="0"/>
        <w:spacing w:before="160" w:beforeLines="50"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皮肤毛发护理器具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皮肤毛发护理器具是对人或动物的皮肤、毛发护理的器具。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按摩器具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按摩器具是针对人们身体全身或者各个部位进行按摩的器具。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剃须刀\电推剪及类似器具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剃须刀为成人男子</w:t>
            </w:r>
            <w:r>
              <w:rPr>
                <w:rFonts w:ascii="仿宋_GB2312" w:hAnsi="宋体" w:eastAsia="仿宋_GB2312"/>
                <w:sz w:val="24"/>
              </w:rPr>
              <w:t>剃刮胡须的用具</w:t>
            </w:r>
            <w:r>
              <w:rPr>
                <w:rFonts w:hint="eastAsia" w:ascii="仿宋_GB2312" w:hAnsi="宋体" w:eastAsia="仿宋_GB2312"/>
                <w:sz w:val="24"/>
              </w:rPr>
              <w:t>，</w:t>
            </w:r>
            <w:r>
              <w:rPr>
                <w:rFonts w:ascii="仿宋_GB2312" w:hAnsi="宋体" w:eastAsia="仿宋_GB2312"/>
                <w:sz w:val="24"/>
              </w:rPr>
              <w:t>属于自我服务型</w:t>
            </w:r>
            <w:r>
              <w:rPr>
                <w:rFonts w:hint="eastAsia" w:ascii="仿宋_GB2312" w:hAnsi="宋体" w:eastAsia="仿宋_GB2312"/>
                <w:sz w:val="24"/>
              </w:rPr>
              <w:t>器</w:t>
            </w:r>
            <w:r>
              <w:rPr>
                <w:rFonts w:ascii="仿宋_GB2312" w:hAnsi="宋体" w:eastAsia="仿宋_GB2312"/>
                <w:sz w:val="24"/>
              </w:rPr>
              <w:t>具。</w:t>
            </w:r>
          </w:p>
          <w:p>
            <w:pPr>
              <w:autoSpaceDE w:val="0"/>
              <w:autoSpaceDN w:val="0"/>
              <w:adjustRightInd w:val="0"/>
              <w:jc w:val="left"/>
              <w:rPr>
                <w:rFonts w:ascii="仿宋_GB2312" w:hAnsi="宋体" w:eastAsia="仿宋_GB2312"/>
                <w:sz w:val="24"/>
              </w:rPr>
            </w:pPr>
            <w:r>
              <w:rPr>
                <w:rFonts w:hint="eastAsia" w:ascii="仿宋_GB2312" w:hAnsi="宋体" w:eastAsia="仿宋_GB2312"/>
                <w:sz w:val="24"/>
              </w:rPr>
              <w:t>电推剪是理发、美发工具。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电动脱毛器</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电动脱毛器是用于去除腋毛、腿毛等部位的不雅毛发的器具。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电动牙刷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电动牙刷是通过电动机的快速旋转或震动，使刷头产生高频震动，清洁牙齿的器具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电美容仪</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电美容仪是女性用来祛除皮肤皱纹保持皮肤光滑的美容器具</w:t>
            </w:r>
          </w:p>
        </w:tc>
      </w:tr>
    </w:tbl>
    <w:p>
      <w:pPr>
        <w:snapToGrid w:val="0"/>
        <w:spacing w:before="160"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417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blHeader/>
          <w:jc w:val="center"/>
        </w:trPr>
        <w:tc>
          <w:tcPr>
            <w:tcW w:w="212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7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4706.1-2005</w:t>
            </w:r>
          </w:p>
        </w:tc>
        <w:tc>
          <w:tcPr>
            <w:tcW w:w="4179"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第1部分：通用要求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4706.15-2008</w:t>
            </w:r>
          </w:p>
        </w:tc>
        <w:tc>
          <w:tcPr>
            <w:tcW w:w="4179"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皮肤及毛发护理器具的特殊要求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4706.10-2008</w:t>
            </w:r>
          </w:p>
        </w:tc>
        <w:tc>
          <w:tcPr>
            <w:tcW w:w="4179"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按摩器具的特殊要求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4706.9-2008</w:t>
            </w:r>
          </w:p>
        </w:tc>
        <w:tc>
          <w:tcPr>
            <w:tcW w:w="4179"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剃须刀、电推剪及类似器具的特殊要求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4"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 4706.59-2008</w:t>
            </w:r>
          </w:p>
        </w:tc>
        <w:tc>
          <w:tcPr>
            <w:tcW w:w="4179"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口腔卫生器具的特殊要求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snapToGrid w:val="0"/>
        <w:spacing w:line="540" w:lineRule="exact"/>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0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对触及带电部件的防护</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8</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8</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输入功率和电流</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10</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10</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发热</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11</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11</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工作温度下的泄漏电流和电气强度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13</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13</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耐潮湿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15</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15</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16</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16</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7</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非正常工作（不包括19.11.4）</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19</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19</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8</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稳定性和机械危险</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20</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20</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9</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机械强度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21</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21</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10</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结构（不包括22.46（含附录R））</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22</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22</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内部布线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23</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23</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电源连接和外部软线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25</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25</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外部导线用接线端子</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26</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26</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接地措施</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27</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27</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螺钉和连接</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28</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28</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电气间隙、爬电距离和固体绝缘</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29</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ascii="仿宋_GB2312" w:eastAsia="仿宋_GB2312"/>
                <w:sz w:val="24"/>
              </w:rPr>
              <w:t>GB 4706.15-2008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4706.10-2008</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4706.9-2008/</w:t>
            </w:r>
          </w:p>
          <w:p>
            <w:pPr>
              <w:jc w:val="center"/>
              <w:rPr>
                <w:rFonts w:ascii="仿宋_GB2312" w:eastAsia="仿宋_GB2312"/>
                <w:sz w:val="24"/>
              </w:rPr>
            </w:pPr>
            <w:r>
              <w:rPr>
                <w:rFonts w:ascii="仿宋_GB2312" w:eastAsia="仿宋_GB2312"/>
                <w:sz w:val="24"/>
              </w:rPr>
              <w:t>GB 4706.59-2008</w:t>
            </w:r>
            <w:r>
              <w:rPr>
                <w:rFonts w:hint="eastAsia" w:ascii="仿宋_GB2312" w:eastAsia="仿宋_GB2312"/>
                <w:sz w:val="24"/>
              </w:rPr>
              <w:t xml:space="preserve"> 29</w:t>
            </w:r>
          </w:p>
        </w:tc>
        <w:tc>
          <w:tcPr>
            <w:tcW w:w="1008"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sz w:val="24"/>
              </w:rPr>
              <w:t>原样</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.1 </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采用备样复</w:t>
      </w:r>
      <w:r>
        <w:rPr>
          <w:rFonts w:hint="eastAsia" w:ascii="仿宋_GB2312" w:eastAsia="仿宋_GB2312" w:cs="Sim Sun"/>
          <w:kern w:val="0"/>
          <w:sz w:val="28"/>
          <w:szCs w:val="28"/>
        </w:rPr>
        <w:t>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若备样与原样的结构、布线、元器件等不一致时，检验结果以原检验结果为准。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检</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540" w:lineRule="exact"/>
        <w:ind w:firstLine="537" w:firstLineChars="192"/>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01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2020-07-01T07:02:55Z</dcterms:created>
  <dc:creator>changmy</dc:creator>
  <cp:lastModifiedBy>常孟园</cp:lastModifiedBy>
  <dcterms:modified xsi:type="dcterms:W3CDTF">2020-07-01T07:03:17Z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