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pPr>
      <w:r>
        <w:rPr>
          <w:rFonts w:hint="eastAsia"/>
        </w:rPr>
        <w:t>附件</w:t>
      </w:r>
      <w:r>
        <w:t>1</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家居环境器具产品质量监督抽查实施规范</w:t>
      </w:r>
    </w:p>
    <w:p>
      <w:pPr>
        <w:spacing w:before="240" w:beforeLines="75" w:line="360" w:lineRule="auto"/>
        <w:jc w:val="center"/>
        <w:rPr>
          <w:rFonts w:ascii="黑体" w:hAnsi="黑体" w:eastAsia="黑体"/>
          <w:color w:val="FF0000"/>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182</w:t>
      </w:r>
      <w:r>
        <w:rPr>
          <w:rFonts w:ascii="黑体" w:hAnsi="黑体" w:eastAsia="黑体"/>
          <w:sz w:val="28"/>
        </w:rPr>
        <w:t>-</w:t>
      </w:r>
      <w:r>
        <w:rPr>
          <w:rFonts w:hint="eastAsia" w:ascii="黑体" w:hAnsi="黑体" w:eastAsia="黑体"/>
          <w:sz w:val="28"/>
        </w:rPr>
        <w:t>2020</w:t>
      </w:r>
    </w:p>
    <w:p>
      <w:pPr>
        <w:snapToGrid w:val="0"/>
        <w:spacing w:line="360" w:lineRule="auto"/>
        <w:rPr>
          <w:rFonts w:ascii="宋体" w:hAnsi="宋体"/>
          <w:sz w:val="24"/>
        </w:rPr>
      </w:pP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本规范适用于深圳市生产及流通领域家居环境器具产品质量监督抽查。监督抽查产品范围适用于：加湿器、空气净化器、电风扇</w:t>
      </w:r>
      <w:r>
        <w:rPr>
          <w:rFonts w:hint="eastAsia" w:ascii="仿宋_GB2312" w:hAnsi="宋体" w:eastAsia="仿宋_GB2312"/>
          <w:bCs/>
          <w:sz w:val="28"/>
          <w:szCs w:val="28"/>
        </w:rPr>
        <w:t>。</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加湿器</w:t>
            </w:r>
          </w:p>
        </w:tc>
        <w:tc>
          <w:tcPr>
            <w:tcW w:w="6305" w:type="dxa"/>
            <w:noWrap w:val="0"/>
            <w:vAlign w:val="center"/>
          </w:tcPr>
          <w:p>
            <w:pPr>
              <w:autoSpaceDE w:val="0"/>
              <w:autoSpaceDN w:val="0"/>
              <w:adjustRightInd w:val="0"/>
              <w:spacing w:line="300" w:lineRule="exact"/>
              <w:rPr>
                <w:rFonts w:ascii="宋体" w:hAnsi="宋体" w:eastAsia="仿宋_GB2312" w:cs="宋体"/>
                <w:kern w:val="0"/>
                <w:sz w:val="24"/>
              </w:rPr>
            </w:pPr>
            <w:r>
              <w:rPr>
                <w:rFonts w:hint="eastAsia" w:ascii="宋体" w:hAnsi="宋体" w:eastAsia="仿宋_GB2312" w:cs="宋体"/>
                <w:kern w:val="0"/>
                <w:sz w:val="24"/>
              </w:rPr>
              <w:t>超声波加湿器、</w:t>
            </w:r>
            <w:r>
              <w:rPr>
                <w:rFonts w:ascii="宋体" w:hAnsi="宋体" w:eastAsia="仿宋_GB2312" w:cs="宋体"/>
                <w:kern w:val="0"/>
                <w:sz w:val="24"/>
              </w:rPr>
              <w:t>蒸发芯式</w:t>
            </w:r>
            <w:r>
              <w:rPr>
                <w:rFonts w:hint="eastAsia" w:ascii="宋体" w:hAnsi="宋体" w:eastAsia="仿宋_GB2312" w:cs="宋体"/>
                <w:kern w:val="0"/>
                <w:sz w:val="24"/>
              </w:rPr>
              <w:t>加湿器、</w:t>
            </w:r>
            <w:r>
              <w:rPr>
                <w:rFonts w:ascii="宋体" w:hAnsi="宋体" w:eastAsia="仿宋_GB2312" w:cs="宋体"/>
                <w:kern w:val="0"/>
                <w:sz w:val="24"/>
              </w:rPr>
              <w:t>热蒸汽加湿器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空气净化器</w:t>
            </w:r>
          </w:p>
        </w:tc>
        <w:tc>
          <w:tcPr>
            <w:tcW w:w="6305"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机械滤网式空气净化器、光触媒式空气净化器、紫外光除菌式空气净化器、高压静电吸附式空气净化器、负离子式空气净化器等，或前述一种或多种功能组合的各种产品。不包括带空气净化功能的电风扇产品（空调扇、换气扇等）、加湿器产品（调节室内环境湿度的产品）以及房间空气调节器产品（空调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电风扇</w:t>
            </w:r>
          </w:p>
        </w:tc>
        <w:tc>
          <w:tcPr>
            <w:tcW w:w="6305"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台扇、壁扇、落地扇、吊扇、台地扇、柱式扇、转页扇、装饰型吊扇、顶扇、换气扇</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加湿器</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eastAsia="仿宋_GB2312" w:cs="宋体"/>
                <w:kern w:val="0"/>
                <w:sz w:val="24"/>
              </w:rPr>
              <w:t>额定电压不超过250V的家用和类似用途的电加热器产品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空气净化器</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eastAsia="仿宋_GB2312" w:cs="宋体"/>
                <w:kern w:val="0"/>
                <w:sz w:val="24"/>
              </w:rPr>
              <w:t>额定电压不超过250V的家用和类似用途的电动空气净化器产品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电风扇</w:t>
            </w:r>
          </w:p>
        </w:tc>
        <w:tc>
          <w:tcPr>
            <w:tcW w:w="6447" w:type="dxa"/>
            <w:noWrap w:val="0"/>
            <w:vAlign w:val="center"/>
          </w:tcPr>
          <w:p>
            <w:pPr>
              <w:autoSpaceDE w:val="0"/>
              <w:autoSpaceDN w:val="0"/>
              <w:adjustRightInd w:val="0"/>
              <w:jc w:val="left"/>
              <w:rPr>
                <w:rFonts w:ascii="仿宋_GB2312" w:eastAsia="仿宋_GB2312" w:cs="宋体"/>
                <w:kern w:val="0"/>
                <w:sz w:val="24"/>
              </w:rPr>
            </w:pPr>
            <w:r>
              <w:rPr>
                <w:rFonts w:hint="eastAsia" w:ascii="仿宋_GB2312" w:eastAsia="仿宋_GB2312" w:cs="宋体"/>
                <w:kern w:val="0"/>
                <w:sz w:val="24"/>
              </w:rPr>
              <w:t>额定电压不超过250V的家用和类似用途的电风扇产品</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4216"/>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87"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216"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7"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4706.1-2005</w:t>
            </w:r>
          </w:p>
        </w:tc>
        <w:tc>
          <w:tcPr>
            <w:tcW w:w="4216"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第1部分：通用要求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7"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4706.48-2009</w:t>
            </w:r>
          </w:p>
        </w:tc>
        <w:tc>
          <w:tcPr>
            <w:tcW w:w="4216"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加湿器的特殊要求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7"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4706.45-2008</w:t>
            </w:r>
          </w:p>
        </w:tc>
        <w:tc>
          <w:tcPr>
            <w:tcW w:w="4216"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空气净化器的特殊要求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7"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ascii="仿宋_GB2312" w:hAnsi="宋体" w:eastAsia="仿宋_GB2312"/>
                <w:sz w:val="24"/>
                <w:szCs w:val="21"/>
              </w:rPr>
              <w:t>GB 4706.</w:t>
            </w:r>
            <w:r>
              <w:rPr>
                <w:rFonts w:hint="eastAsia" w:ascii="仿宋_GB2312" w:hAnsi="宋体" w:eastAsia="仿宋_GB2312"/>
                <w:sz w:val="24"/>
                <w:szCs w:val="21"/>
              </w:rPr>
              <w:t>27-2008</w:t>
            </w:r>
          </w:p>
        </w:tc>
        <w:tc>
          <w:tcPr>
            <w:tcW w:w="4216"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第2部分：风扇的特殊要求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hint="eastAsia" w:ascii="仿宋_GB2312" w:hAnsi="宋体" w:eastAsia="仿宋_GB2312"/>
          <w:b/>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流通领域：流通领域抽样可采取在流通领域实体店以及网络交易平台两种方式获得样品。</w:t>
      </w:r>
    </w:p>
    <w:p>
      <w:pPr>
        <w:numPr>
          <w:ilvl w:val="0"/>
          <w:numId w:val="1"/>
        </w:num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b/>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生产领域：随机抽取同一规格型号的2台样品，1台作为检验样品带回承检单位，1台作为备用样品封存于承检单位。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流通领域（实体店）：随机抽取同一规格型号的2台样品，1台作为检验样品带回承检单位，1台作为备用样品封存于承检单位。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流通领域（网络交易平台）：随机抽取同一规格型号的2台样品，1台作为检验样品带回承检单位，1台作为备用样品封存于承检单位。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tbl>
      <w:tblPr>
        <w:tblStyle w:val="4"/>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1518"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53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03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378"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对触及带电部件的防护</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8</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8</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2</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输入功率和电流</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10</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10</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3</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发热</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11</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11</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4</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工作温度下的泄漏电流和电气强度</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13</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13</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5</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耐潮湿</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15</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15</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6</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泄漏电流和电气强度</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16</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16</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7</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非正常工作（不包括19.11.4）</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19</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19</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8</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稳定性和机械危险</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20</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20</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9</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机械强度</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21</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21</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10</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结构（不包括22.46（含附录R））</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22</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22</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11</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内部布线</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23</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23</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12</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电源连接和外部软线</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25</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25</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13</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外部导线用接线端子</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26</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26</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14</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接地措施</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27</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27</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15</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螺钉和连接</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28</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28</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16</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电气间隙、爬电距离和固体绝缘</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29</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29</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17</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耐热和耐燃</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30</w:t>
            </w:r>
          </w:p>
        </w:tc>
        <w:tc>
          <w:tcPr>
            <w:tcW w:w="1035"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eastAsia="仿宋_GB2312"/>
                <w:sz w:val="24"/>
              </w:rPr>
              <w:t>GB 4706.48-2009/</w:t>
            </w:r>
          </w:p>
          <w:p>
            <w:pPr>
              <w:jc w:val="center"/>
              <w:rPr>
                <w:rFonts w:ascii="仿宋_GB2312" w:eastAsia="仿宋_GB2312"/>
                <w:sz w:val="24"/>
              </w:rPr>
            </w:pPr>
            <w:r>
              <w:rPr>
                <w:rFonts w:hint="eastAsia" w:ascii="仿宋_GB2312" w:eastAsia="仿宋_GB2312"/>
                <w:sz w:val="24"/>
              </w:rPr>
              <w:t>GB 4706.45-2008/</w:t>
            </w:r>
          </w:p>
          <w:p>
            <w:pPr>
              <w:jc w:val="center"/>
              <w:rPr>
                <w:rFonts w:ascii="仿宋_GB2312" w:eastAsia="仿宋_GB2312"/>
                <w:sz w:val="24"/>
              </w:rPr>
            </w:pPr>
            <w:r>
              <w:rPr>
                <w:rFonts w:hint="eastAsia" w:ascii="仿宋_GB2312" w:eastAsia="仿宋_GB2312"/>
                <w:sz w:val="24"/>
              </w:rPr>
              <w:t>GB 4706.27-2008 30</w:t>
            </w:r>
          </w:p>
        </w:tc>
        <w:tc>
          <w:tcPr>
            <w:tcW w:w="100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eastAsia="仿宋_GB2312"/>
                <w:sz w:val="24"/>
              </w:rPr>
            </w:pPr>
            <w:r>
              <w:rPr>
                <w:rFonts w:hint="eastAsia" w:ascii="仿宋_GB2312" w:eastAsia="仿宋_GB2312"/>
                <w:sz w:val="24"/>
              </w:rPr>
              <w:t>18</w:t>
            </w:r>
          </w:p>
        </w:tc>
        <w:tc>
          <w:tcPr>
            <w:tcW w:w="1518" w:type="dxa"/>
            <w:tcBorders>
              <w:top w:val="single" w:color="auto" w:sz="2" w:space="0"/>
              <w:bottom w:val="single" w:color="auto" w:sz="2" w:space="0"/>
            </w:tcBorders>
            <w:noWrap w:val="0"/>
            <w:vAlign w:val="center"/>
          </w:tcPr>
          <w:p>
            <w:pPr>
              <w:jc w:val="center"/>
              <w:rPr>
                <w:rFonts w:ascii="仿宋_GB2312" w:eastAsia="仿宋_GB2312"/>
                <w:sz w:val="24"/>
              </w:rPr>
            </w:pPr>
            <w:r>
              <w:rPr>
                <w:rFonts w:hint="eastAsia" w:ascii="仿宋_GB2312" w:eastAsia="仿宋_GB2312"/>
                <w:sz w:val="24"/>
              </w:rPr>
              <w:t>噪声</w:t>
            </w:r>
          </w:p>
        </w:tc>
        <w:tc>
          <w:tcPr>
            <w:tcW w:w="2535" w:type="dxa"/>
            <w:tcBorders>
              <w:top w:val="single" w:color="auto" w:sz="2" w:space="0"/>
              <w:bottom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19606-2004 附录F</w:t>
            </w:r>
          </w:p>
        </w:tc>
        <w:tc>
          <w:tcPr>
            <w:tcW w:w="1035" w:type="dxa"/>
            <w:tcBorders>
              <w:top w:val="single" w:color="auto" w:sz="2" w:space="0"/>
              <w:bottom w:val="single" w:color="auto" w:sz="2" w:space="0"/>
            </w:tcBorders>
            <w:noWrap w:val="0"/>
            <w:vAlign w:val="center"/>
          </w:tcPr>
          <w:p>
            <w:pPr>
              <w:snapToGrid w:val="0"/>
              <w:spacing w:before="80" w:beforeLines="25" w:after="80" w:afterLines="25"/>
              <w:jc w:val="center"/>
              <w:rPr>
                <w:rFonts w:ascii="仿宋_GB2312" w:eastAsia="仿宋_GB2312"/>
                <w:sz w:val="24"/>
              </w:rPr>
            </w:pPr>
            <w:r>
              <w:rPr>
                <w:rFonts w:hint="eastAsia" w:ascii="仿宋_GB2312" w:eastAsia="仿宋_GB2312"/>
                <w:sz w:val="24"/>
              </w:rPr>
              <w:t>强制性</w:t>
            </w:r>
          </w:p>
        </w:tc>
        <w:tc>
          <w:tcPr>
            <w:tcW w:w="2378" w:type="dxa"/>
            <w:tcBorders>
              <w:top w:val="single" w:color="auto" w:sz="2" w:space="0"/>
              <w:bottom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19606-2004 附录F</w:t>
            </w:r>
          </w:p>
        </w:tc>
        <w:tc>
          <w:tcPr>
            <w:tcW w:w="1008" w:type="dxa"/>
            <w:tcBorders>
              <w:top w:val="single" w:color="auto" w:sz="2" w:space="0"/>
              <w:bottom w:val="single" w:color="auto" w:sz="2" w:space="0"/>
            </w:tcBorders>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189" w:type="dxa"/>
            <w:gridSpan w:val="6"/>
            <w:tcBorders>
              <w:top w:val="single" w:color="auto" w:sz="2" w:space="0"/>
            </w:tcBorders>
            <w:noWrap w:val="0"/>
            <w:vAlign w:val="center"/>
          </w:tcPr>
          <w:p>
            <w:pPr>
              <w:snapToGrid w:val="0"/>
              <w:jc w:val="left"/>
              <w:rPr>
                <w:rFonts w:ascii="仿宋_GB2312" w:hAnsi="仿宋" w:eastAsia="仿宋_GB2312"/>
                <w:sz w:val="24"/>
              </w:rPr>
            </w:pPr>
            <w:r>
              <w:rPr>
                <w:rFonts w:hint="eastAsia" w:ascii="仿宋_GB2312" w:hAnsi="仿宋" w:eastAsia="仿宋_GB2312"/>
                <w:sz w:val="24"/>
              </w:rPr>
              <w:t>注：第18项噪声只测电风扇产品。</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.1 </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.2 </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540" w:lineRule="exact"/>
        <w:rPr>
          <w:rFonts w:ascii="仿宋_GB2312" w:eastAsia="仿宋_GB2312" w:cs="Sim Sun"/>
          <w:b/>
          <w:iCs/>
          <w:kern w:val="0"/>
          <w:sz w:val="28"/>
          <w:szCs w:val="28"/>
        </w:rPr>
      </w:pPr>
      <w:r>
        <w:rPr>
          <w:rFonts w:hint="eastAsia" w:ascii="仿宋_GB2312" w:eastAsia="仿宋_GB2312" w:cs="Sim Sun"/>
          <w:b/>
          <w:iCs/>
          <w:kern w:val="0"/>
          <w:sz w:val="28"/>
          <w:szCs w:val="28"/>
        </w:rPr>
        <w:t xml:space="preserve">8.6 </w:t>
      </w:r>
      <w:r>
        <w:rPr>
          <w:rFonts w:ascii="仿宋_GB2312" w:eastAsia="仿宋_GB2312" w:cs="Sim Sun"/>
          <w:kern w:val="0"/>
          <w:sz w:val="28"/>
          <w:szCs w:val="28"/>
        </w:rPr>
        <w:t>采用备样</w:t>
      </w:r>
      <w:r>
        <w:rPr>
          <w:rFonts w:hint="eastAsia" w:ascii="仿宋_GB2312" w:eastAsia="仿宋_GB2312" w:cs="Sim Sun"/>
          <w:kern w:val="0"/>
          <w:sz w:val="28"/>
          <w:szCs w:val="28"/>
        </w:rPr>
        <w:t>复检</w:t>
      </w:r>
      <w:r>
        <w:rPr>
          <w:rFonts w:ascii="仿宋_GB2312" w:eastAsia="仿宋_GB2312" w:cs="Sim Sun"/>
          <w:kern w:val="0"/>
          <w:sz w:val="28"/>
          <w:szCs w:val="28"/>
        </w:rPr>
        <w:t>时，</w:t>
      </w:r>
      <w:r>
        <w:rPr>
          <w:rFonts w:hint="eastAsia" w:ascii="仿宋_GB2312" w:eastAsia="仿宋_GB2312" w:cs="Sim Sun"/>
          <w:kern w:val="0"/>
          <w:sz w:val="28"/>
          <w:szCs w:val="28"/>
        </w:rPr>
        <w:t>若备样与原样的结构、布线、元器件等不一致时，检验结果以原检验结果为准。</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8.7 </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w:t>
      </w:r>
      <w:r>
        <w:rPr>
          <w:rFonts w:hint="eastAsia" w:ascii="仿宋_GB2312" w:eastAsia="仿宋_GB2312" w:cs="Sim Sun"/>
          <w:iCs/>
          <w:kern w:val="0"/>
          <w:sz w:val="28"/>
          <w:szCs w:val="28"/>
        </w:rPr>
        <w:t>复检</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bookmarkStart w:id="0" w:name="_GoBack"/>
      <w:bookmarkEnd w:id="0"/>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121BA9"/>
    <w:multiLevelType w:val="singleLevel"/>
    <w:tmpl w:val="FA121B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4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2020-07-01T07:01:51Z</dcterms:created>
  <dc:creator>changmy</dc:creator>
  <cp:lastModifiedBy>常孟园</cp:lastModifiedBy>
  <dcterms:modified xsi:type="dcterms:W3CDTF">2020-07-01T07:02:10Z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