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right="26"/>
        <w:rPr>
          <w:rFonts w:hint="eastAsia" w:ascii="黑体" w:hAnsi="黑体" w:eastAsia="黑体" w:cs="黑体"/>
          <w:b/>
          <w:bCs/>
          <w:kern w:val="0"/>
          <w:sz w:val="32"/>
          <w:szCs w:val="32"/>
        </w:rPr>
      </w:pPr>
      <w:r>
        <w:rPr>
          <w:rFonts w:hint="eastAsia" w:ascii="黑体" w:hAnsi="黑体" w:eastAsia="黑体" w:cs="黑体"/>
          <w:kern w:val="0"/>
          <w:sz w:val="32"/>
          <w:szCs w:val="32"/>
        </w:rPr>
        <w:t>附件1</w:t>
      </w:r>
    </w:p>
    <w:p>
      <w:pPr>
        <w:spacing w:line="360" w:lineRule="auto"/>
        <w:jc w:val="center"/>
        <w:rPr>
          <w:rFonts w:ascii="黑体" w:hAnsi="黑体" w:eastAsia="黑体"/>
          <w:sz w:val="36"/>
          <w:szCs w:val="36"/>
        </w:rPr>
      </w:pPr>
      <w:r>
        <w:rPr>
          <w:rFonts w:hint="eastAsia" w:ascii="黑体" w:hAnsi="黑体" w:eastAsia="黑体" w:cs="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cs="黑体"/>
          <w:sz w:val="36"/>
          <w:szCs w:val="36"/>
        </w:rPr>
        <w:t>家用燃气灶具产品质量监督抽查实施规范</w:t>
      </w:r>
    </w:p>
    <w:p>
      <w:pPr>
        <w:spacing w:line="360" w:lineRule="auto"/>
        <w:jc w:val="center"/>
      </w:pPr>
      <w:r>
        <w:rPr>
          <w:rFonts w:hint="eastAsia" w:ascii="黑体" w:hAnsi="黑体" w:eastAsia="黑体" w:cs="黑体"/>
          <w:sz w:val="32"/>
          <w:szCs w:val="32"/>
        </w:rPr>
        <w:t>（编号：</w:t>
      </w:r>
      <w:r>
        <w:rPr>
          <w:rFonts w:ascii="黑体" w:hAnsi="黑体" w:eastAsia="黑体" w:cs="黑体"/>
          <w:sz w:val="32"/>
          <w:szCs w:val="32"/>
        </w:rPr>
        <w:t>CCGF-SZ-</w:t>
      </w:r>
      <w:r>
        <w:rPr>
          <w:rFonts w:hint="eastAsia" w:ascii="黑体" w:hAnsi="黑体" w:eastAsia="黑体" w:cs="黑体"/>
          <w:sz w:val="32"/>
          <w:szCs w:val="32"/>
        </w:rPr>
        <w:t>118</w:t>
      </w:r>
      <w:r>
        <w:rPr>
          <w:rFonts w:ascii="黑体" w:hAnsi="黑体" w:eastAsia="黑体" w:cs="黑体"/>
          <w:sz w:val="32"/>
          <w:szCs w:val="32"/>
        </w:rPr>
        <w:t>-2020</w:t>
      </w:r>
      <w:r>
        <w:rPr>
          <w:rFonts w:hint="eastAsia" w:ascii="黑体" w:hAnsi="黑体" w:eastAsia="黑体" w:cs="黑体"/>
          <w:sz w:val="32"/>
          <w:szCs w:val="32"/>
        </w:rPr>
        <w:t>）</w:t>
      </w:r>
    </w:p>
    <w:p>
      <w:pPr>
        <w:snapToGrid w:val="0"/>
        <w:spacing w:line="360" w:lineRule="auto"/>
        <w:rPr>
          <w:rFonts w:ascii="仿宋_GB2312" w:hAnsi="仿宋_GB2312" w:eastAsia="仿宋_GB2312"/>
          <w:b/>
          <w:bCs/>
        </w:rPr>
      </w:pP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1 </w:t>
      </w:r>
      <w:r>
        <w:rPr>
          <w:rFonts w:hint="eastAsia" w:ascii="仿宋_GB2312" w:hAnsi="仿宋_GB2312" w:eastAsia="仿宋_GB2312" w:cs="仿宋_GB2312"/>
          <w:b/>
          <w:bCs/>
          <w:sz w:val="28"/>
          <w:szCs w:val="28"/>
        </w:rPr>
        <w:t>适用范围</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本规范适用于深圳市生产、流通领域家用燃气灶具产品质量监督抽查。监督抽查产品范围包括：</w:t>
      </w:r>
      <w:r>
        <w:rPr>
          <w:rFonts w:ascii="仿宋_GB2312" w:hAnsi="仿宋_GB2312" w:eastAsia="仿宋_GB2312" w:cs="仿宋_GB2312"/>
          <w:sz w:val="28"/>
          <w:szCs w:val="28"/>
        </w:rPr>
        <w:t>a)</w:t>
      </w:r>
      <w:r>
        <w:rPr>
          <w:rFonts w:hint="eastAsia" w:ascii="仿宋_GB2312" w:hAnsi="仿宋_GB2312" w:eastAsia="仿宋_GB2312" w:cs="仿宋_GB2312"/>
          <w:sz w:val="28"/>
          <w:szCs w:val="28"/>
        </w:rPr>
        <w:t>单个燃烧器额定热负荷不大于</w:t>
      </w:r>
      <w:r>
        <w:rPr>
          <w:rFonts w:ascii="仿宋_GB2312" w:hAnsi="仿宋_GB2312" w:eastAsia="仿宋_GB2312" w:cs="仿宋_GB2312"/>
          <w:sz w:val="28"/>
          <w:szCs w:val="28"/>
        </w:rPr>
        <w:t>5.23kW</w:t>
      </w:r>
      <w:r>
        <w:rPr>
          <w:rFonts w:hint="eastAsia" w:ascii="仿宋_GB2312" w:hAnsi="仿宋_GB2312" w:eastAsia="仿宋_GB2312" w:cs="仿宋_GB2312"/>
          <w:sz w:val="28"/>
          <w:szCs w:val="28"/>
        </w:rPr>
        <w:t>的家用燃气灶具；</w:t>
      </w:r>
      <w:r>
        <w:rPr>
          <w:rFonts w:ascii="仿宋_GB2312" w:hAnsi="仿宋_GB2312" w:eastAsia="仿宋_GB2312" w:cs="仿宋_GB2312"/>
          <w:sz w:val="28"/>
          <w:szCs w:val="28"/>
        </w:rPr>
        <w:t xml:space="preserve">b) </w:t>
      </w:r>
      <w:r>
        <w:rPr>
          <w:rFonts w:hint="eastAsia" w:ascii="仿宋_GB2312" w:hAnsi="仿宋_GB2312" w:eastAsia="仿宋_GB2312" w:cs="仿宋_GB2312"/>
          <w:sz w:val="28"/>
          <w:szCs w:val="28"/>
        </w:rPr>
        <w:t>额定热负荷符合</w:t>
      </w:r>
      <w:r>
        <w:rPr>
          <w:rFonts w:ascii="仿宋_GB2312" w:hAnsi="仿宋_GB2312" w:eastAsia="仿宋_GB2312" w:cs="仿宋_GB2312"/>
          <w:sz w:val="28"/>
          <w:szCs w:val="28"/>
        </w:rPr>
        <w:t>a)</w:t>
      </w:r>
      <w:r>
        <w:rPr>
          <w:rFonts w:hint="eastAsia" w:ascii="仿宋_GB2312" w:hAnsi="仿宋_GB2312" w:eastAsia="仿宋_GB2312" w:cs="仿宋_GB2312"/>
          <w:sz w:val="28"/>
          <w:szCs w:val="28"/>
        </w:rPr>
        <w:t>规定、电的总额定输入功率不大于</w:t>
      </w:r>
      <w:r>
        <w:rPr>
          <w:rFonts w:ascii="仿宋_GB2312" w:hAnsi="仿宋_GB2312" w:eastAsia="仿宋_GB2312" w:cs="仿宋_GB2312"/>
          <w:sz w:val="28"/>
          <w:szCs w:val="28"/>
        </w:rPr>
        <w:t>5.00kW</w:t>
      </w:r>
      <w:r>
        <w:rPr>
          <w:rFonts w:hint="eastAsia" w:ascii="仿宋_GB2312" w:hAnsi="仿宋_GB2312" w:eastAsia="仿宋_GB2312" w:cs="仿宋_GB2312"/>
          <w:sz w:val="28"/>
          <w:szCs w:val="28"/>
        </w:rPr>
        <w:t>的气电两用灶具产品。</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本规范内容包括适用范围、产品种类、术语和定义、检验依据、抽样、检验要求，判定原则及异议处理复检。</w:t>
      </w:r>
    </w:p>
    <w:p>
      <w:pPr>
        <w:snapToGrid w:val="0"/>
        <w:spacing w:line="360" w:lineRule="auto"/>
        <w:ind w:firstLine="537"/>
        <w:rPr>
          <w:rFonts w:ascii="仿宋_GB2312" w:hAnsi="仿宋_GB2312" w:eastAsia="仿宋_GB2312"/>
          <w:sz w:val="28"/>
          <w:szCs w:val="28"/>
        </w:rPr>
      </w:pP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2 </w:t>
      </w:r>
      <w:r>
        <w:rPr>
          <w:rFonts w:hint="eastAsia" w:ascii="仿宋_GB2312" w:hAnsi="仿宋_GB2312" w:eastAsia="仿宋_GB2312" w:cs="仿宋_GB2312"/>
          <w:b/>
          <w:bCs/>
          <w:sz w:val="28"/>
          <w:szCs w:val="28"/>
        </w:rPr>
        <w:t>产品种类</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产品种类见表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napToGrid w:val="0"/>
        <w:spacing w:line="360" w:lineRule="auto"/>
        <w:jc w:val="center"/>
        <w:rPr>
          <w:rFonts w:ascii="黑体" w:hAnsi="黑体" w:eastAsia="黑体"/>
          <w:sz w:val="24"/>
        </w:rPr>
      </w:pPr>
      <w:r>
        <w:rPr>
          <w:rFonts w:hint="eastAsia" w:ascii="黑体" w:hAnsi="黑体" w:eastAsia="黑体" w:cs="黑体"/>
          <w:sz w:val="24"/>
        </w:rPr>
        <w:t>表</w:t>
      </w:r>
      <w:r>
        <w:rPr>
          <w:rFonts w:ascii="黑体" w:hAnsi="黑体" w:eastAsia="黑体" w:cs="黑体"/>
          <w:sz w:val="24"/>
        </w:rPr>
        <w:t xml:space="preserve">1  </w:t>
      </w:r>
      <w:r>
        <w:rPr>
          <w:rFonts w:hint="eastAsia" w:ascii="黑体" w:hAnsi="黑体" w:eastAsia="黑体" w:cs="黑体"/>
          <w:sz w:val="24"/>
        </w:rPr>
        <w:t>产品种类</w:t>
      </w:r>
    </w:p>
    <w:tbl>
      <w:tblPr>
        <w:tblStyle w:val="2"/>
        <w:tblW w:w="73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5"/>
        <w:gridCol w:w="5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blHeader/>
          <w:jc w:val="center"/>
        </w:trPr>
        <w:tc>
          <w:tcPr>
            <w:tcW w:w="1685" w:type="dxa"/>
            <w:noWrap w:val="0"/>
            <w:vAlign w:val="center"/>
          </w:tcPr>
          <w:p>
            <w:pPr>
              <w:snapToGrid w:val="0"/>
              <w:jc w:val="center"/>
              <w:rPr>
                <w:rFonts w:ascii="黑体" w:hAnsi="黑体" w:eastAsia="黑体"/>
              </w:rPr>
            </w:pPr>
            <w:r>
              <w:rPr>
                <w:rFonts w:hint="eastAsia" w:ascii="黑体" w:hAnsi="黑体" w:eastAsia="黑体" w:cs="黑体"/>
              </w:rPr>
              <w:t>分类方式</w:t>
            </w:r>
          </w:p>
        </w:tc>
        <w:tc>
          <w:tcPr>
            <w:tcW w:w="5626" w:type="dxa"/>
            <w:noWrap w:val="0"/>
            <w:vAlign w:val="center"/>
          </w:tcPr>
          <w:p>
            <w:pPr>
              <w:snapToGrid w:val="0"/>
              <w:jc w:val="center"/>
              <w:rPr>
                <w:rFonts w:ascii="黑体" w:hAnsi="黑体" w:eastAsia="黑体"/>
              </w:rPr>
            </w:pPr>
            <w:r>
              <w:rPr>
                <w:rFonts w:hint="eastAsia" w:ascii="黑体" w:hAnsi="黑体" w:eastAsia="黑体" w:cs="黑体"/>
              </w:rPr>
              <w:t>分类内容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1685" w:type="dxa"/>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按燃气类别</w:t>
            </w:r>
          </w:p>
        </w:tc>
        <w:tc>
          <w:tcPr>
            <w:tcW w:w="5626" w:type="dxa"/>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天然气灶具、液化石油气灶具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1685" w:type="dxa"/>
            <w:noWrap w:val="0"/>
            <w:vAlign w:val="center"/>
          </w:tcPr>
          <w:p>
            <w:pPr>
              <w:jc w:val="center"/>
              <w:rPr>
                <w:rFonts w:ascii="仿宋_GB2312" w:hAnsi="仿宋_GB2312" w:eastAsia="仿宋_GB2312"/>
              </w:rPr>
            </w:pPr>
            <w:r>
              <w:rPr>
                <w:rFonts w:hint="eastAsia" w:ascii="仿宋_GB2312" w:hAnsi="仿宋_GB2312" w:eastAsia="仿宋_GB2312" w:cs="仿宋_GB2312"/>
              </w:rPr>
              <w:t>按灶眼数</w:t>
            </w:r>
          </w:p>
        </w:tc>
        <w:tc>
          <w:tcPr>
            <w:tcW w:w="5626" w:type="dxa"/>
            <w:noWrap w:val="0"/>
            <w:vAlign w:val="center"/>
          </w:tcPr>
          <w:p>
            <w:pPr>
              <w:jc w:val="center"/>
              <w:rPr>
                <w:rFonts w:ascii="仿宋_GB2312" w:hAnsi="仿宋_GB2312" w:eastAsia="仿宋_GB2312"/>
              </w:rPr>
            </w:pPr>
            <w:r>
              <w:rPr>
                <w:rFonts w:hint="eastAsia" w:ascii="仿宋_GB2312" w:hAnsi="仿宋_GB2312" w:eastAsia="仿宋_GB2312" w:cs="仿宋_GB2312"/>
              </w:rPr>
              <w:t>单眼灶、双眼灶、多眼灶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685" w:type="dxa"/>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按结构形式</w:t>
            </w:r>
          </w:p>
        </w:tc>
        <w:tc>
          <w:tcPr>
            <w:tcW w:w="5626" w:type="dxa"/>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台式、嵌入式、落地式、组合式、其他形式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685" w:type="dxa"/>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按功能</w:t>
            </w:r>
          </w:p>
        </w:tc>
        <w:tc>
          <w:tcPr>
            <w:tcW w:w="5626" w:type="dxa"/>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灶、气电两用灶</w:t>
            </w:r>
          </w:p>
        </w:tc>
      </w:tr>
    </w:tbl>
    <w:p>
      <w:pPr>
        <w:snapToGrid w:val="0"/>
        <w:spacing w:line="360" w:lineRule="auto"/>
        <w:rPr>
          <w:rFonts w:ascii="仿宋_GB2312" w:hAnsi="仿宋_GB2312" w:eastAsia="仿宋_GB2312"/>
          <w:b/>
          <w:bCs/>
          <w:sz w:val="28"/>
          <w:szCs w:val="28"/>
        </w:rPr>
      </w:pP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3 </w:t>
      </w:r>
      <w:r>
        <w:rPr>
          <w:rFonts w:hint="eastAsia" w:ascii="仿宋_GB2312" w:hAnsi="仿宋_GB2312" w:eastAsia="仿宋_GB2312" w:cs="仿宋_GB2312"/>
          <w:b/>
          <w:bCs/>
          <w:sz w:val="28"/>
          <w:szCs w:val="28"/>
        </w:rPr>
        <w:t>术语和定义</w:t>
      </w:r>
    </w:p>
    <w:p>
      <w:pPr>
        <w:snapToGrid w:val="0"/>
        <w:spacing w:line="360" w:lineRule="auto"/>
        <w:ind w:firstLine="560"/>
        <w:rPr>
          <w:rFonts w:ascii="仿宋_GB2312" w:hAnsi="仿宋_GB2312" w:eastAsia="仿宋_GB2312"/>
          <w:sz w:val="28"/>
          <w:szCs w:val="28"/>
        </w:rPr>
      </w:pPr>
      <w:r>
        <w:rPr>
          <w:rFonts w:ascii="仿宋_GB2312" w:hAnsi="仿宋_GB2312" w:eastAsia="仿宋_GB2312" w:cs="仿宋_GB2312"/>
          <w:sz w:val="28"/>
          <w:szCs w:val="28"/>
        </w:rPr>
        <w:t>3.1</w:t>
      </w:r>
      <w:r>
        <w:rPr>
          <w:rFonts w:hint="eastAsia" w:ascii="仿宋_GB2312" w:hAnsi="仿宋_GB2312" w:eastAsia="仿宋_GB2312" w:cs="仿宋_GB2312"/>
          <w:sz w:val="28"/>
          <w:szCs w:val="28"/>
        </w:rPr>
        <w:t>燃气灶：用本身带的支架支撑烹调器皿，并用火直接加热烹调器皿的燃气燃烧器具。</w:t>
      </w:r>
    </w:p>
    <w:p>
      <w:pPr>
        <w:snapToGrid w:val="0"/>
        <w:spacing w:line="360" w:lineRule="auto"/>
        <w:ind w:firstLine="560"/>
        <w:rPr>
          <w:rFonts w:ascii="仿宋_GB2312" w:hAnsi="仿宋_GB2312" w:eastAsia="仿宋_GB2312"/>
          <w:sz w:val="28"/>
          <w:szCs w:val="28"/>
        </w:rPr>
      </w:pPr>
      <w:r>
        <w:rPr>
          <w:rFonts w:ascii="仿宋_GB2312" w:hAnsi="仿宋_GB2312" w:eastAsia="仿宋_GB2312" w:cs="仿宋_GB2312"/>
          <w:sz w:val="28"/>
          <w:szCs w:val="28"/>
        </w:rPr>
        <w:t>3.2</w:t>
      </w:r>
      <w:r>
        <w:rPr>
          <w:rFonts w:hint="eastAsia" w:ascii="仿宋_GB2312" w:hAnsi="仿宋_GB2312" w:eastAsia="仿宋_GB2312" w:cs="仿宋_GB2312"/>
          <w:sz w:val="28"/>
          <w:szCs w:val="28"/>
        </w:rPr>
        <w:t>气电两用灶具：将燃气灶具和电灶（包括电磁灶）组合在一起，能单独或同时使用燃气和电能加热的两用灶具。</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4 </w:t>
      </w:r>
      <w:r>
        <w:rPr>
          <w:rFonts w:hint="eastAsia" w:ascii="仿宋_GB2312" w:hAnsi="仿宋_GB2312" w:eastAsia="仿宋_GB2312" w:cs="仿宋_GB2312"/>
          <w:b/>
          <w:bCs/>
          <w:sz w:val="28"/>
          <w:szCs w:val="28"/>
        </w:rPr>
        <w:t>检验依据</w:t>
      </w:r>
    </w:p>
    <w:p>
      <w:pPr>
        <w:widowControl/>
        <w:snapToGrid w:val="0"/>
        <w:spacing w:line="360" w:lineRule="auto"/>
        <w:ind w:firstLine="590"/>
        <w:jc w:val="left"/>
        <w:rPr>
          <w:rFonts w:ascii="仿宋_GB2312" w:hAnsi="仿宋_GB2312" w:eastAsia="仿宋_GB2312"/>
          <w:kern w:val="0"/>
          <w:sz w:val="28"/>
          <w:szCs w:val="28"/>
        </w:rPr>
      </w:pPr>
      <w:r>
        <w:rPr>
          <w:rFonts w:ascii="仿宋_GB2312" w:hAnsi="仿宋_GB2312" w:eastAsia="仿宋_GB2312" w:cs="仿宋_GB2312"/>
          <w:kern w:val="0"/>
          <w:sz w:val="28"/>
          <w:szCs w:val="28"/>
        </w:rPr>
        <w:t xml:space="preserve">GB 16410-2007  </w:t>
      </w:r>
      <w:r>
        <w:rPr>
          <w:rFonts w:hint="eastAsia" w:ascii="仿宋_GB2312" w:hAnsi="仿宋_GB2312" w:eastAsia="仿宋_GB2312" w:cs="仿宋_GB2312"/>
          <w:kern w:val="0"/>
          <w:sz w:val="28"/>
          <w:szCs w:val="28"/>
        </w:rPr>
        <w:t>《家用燃气灶具》</w:t>
      </w:r>
    </w:p>
    <w:p>
      <w:pPr>
        <w:widowControl/>
        <w:snapToGrid w:val="0"/>
        <w:spacing w:line="360" w:lineRule="auto"/>
        <w:ind w:firstLine="590"/>
        <w:jc w:val="left"/>
        <w:rPr>
          <w:rFonts w:ascii="仿宋_GB2312" w:hAnsi="仿宋_GB2312" w:eastAsia="仿宋_GB2312"/>
          <w:kern w:val="0"/>
          <w:sz w:val="28"/>
          <w:szCs w:val="28"/>
        </w:rPr>
      </w:pPr>
      <w:r>
        <w:rPr>
          <w:rFonts w:hint="eastAsia" w:ascii="仿宋_GB2312" w:hAnsi="仿宋_GB2312" w:eastAsia="仿宋_GB2312" w:cs="仿宋_GB2312"/>
          <w:kern w:val="0"/>
          <w:sz w:val="28"/>
          <w:szCs w:val="28"/>
        </w:rPr>
        <w:t>经备案有效的企业标准及产品明示质量要求</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 </w:t>
      </w:r>
      <w:r>
        <w:rPr>
          <w:rFonts w:hint="eastAsia" w:ascii="仿宋_GB2312" w:hAnsi="仿宋_GB2312" w:eastAsia="仿宋_GB2312" w:cs="仿宋_GB2312"/>
          <w:b/>
          <w:bCs/>
          <w:sz w:val="28"/>
          <w:szCs w:val="28"/>
        </w:rPr>
        <w:t>抽样</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5.1 </w:t>
      </w:r>
      <w:r>
        <w:rPr>
          <w:rFonts w:hint="eastAsia" w:ascii="仿宋_GB2312" w:hAnsi="仿宋_GB2312" w:eastAsia="仿宋_GB2312" w:cs="仿宋_GB2312"/>
          <w:b/>
          <w:bCs/>
          <w:sz w:val="28"/>
          <w:szCs w:val="28"/>
        </w:rPr>
        <w:t>抽样型号或规格</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抽取样品须为同一型号规格、同一批次的产品。</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5.2 </w:t>
      </w:r>
      <w:r>
        <w:rPr>
          <w:rFonts w:hint="eastAsia" w:ascii="仿宋_GB2312" w:hAnsi="仿宋_GB2312" w:eastAsia="仿宋_GB2312" w:cs="仿宋_GB2312"/>
          <w:b/>
          <w:bCs/>
          <w:sz w:val="28"/>
          <w:szCs w:val="28"/>
        </w:rPr>
        <w:t>抽样方法</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流通领域：在流通领域抽样可在实体店以及网络交易平台两种途径获得样品。</w:t>
      </w:r>
    </w:p>
    <w:p>
      <w:pPr>
        <w:snapToGrid w:val="0"/>
        <w:spacing w:line="360" w:lineRule="auto"/>
        <w:rPr>
          <w:rFonts w:ascii="仿宋_GB2312" w:hAnsi="宋体" w:eastAsia="仿宋_GB2312"/>
          <w:sz w:val="28"/>
          <w:szCs w:val="28"/>
        </w:rPr>
      </w:pPr>
      <w:r>
        <w:rPr>
          <w:rFonts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ind w:firstLine="560"/>
        <w:rPr>
          <w:rFonts w:ascii="仿宋_GB2312" w:hAnsi="仿宋_GB2312" w:eastAsia="仿宋_GB2312"/>
          <w:sz w:val="28"/>
          <w:szCs w:val="28"/>
        </w:rPr>
      </w:pPr>
      <w:r>
        <w:rPr>
          <w:rFonts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5.3 </w:t>
      </w:r>
      <w:r>
        <w:rPr>
          <w:rFonts w:hint="eastAsia" w:ascii="仿宋_GB2312" w:hAnsi="仿宋_GB2312" w:eastAsia="仿宋_GB2312" w:cs="仿宋_GB2312"/>
          <w:b/>
          <w:bCs/>
          <w:sz w:val="28"/>
          <w:szCs w:val="28"/>
        </w:rPr>
        <w:t>抽样基数</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在生产企业成品库内抽样时，同一批次产品库存基数应不少于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台，当库存基数少于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台或无库存时，应在企业生产线末端上进行抽样；在市场上抽样时，抽样基数应不少于抽取样品量。</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5.4 </w:t>
      </w:r>
      <w:r>
        <w:rPr>
          <w:rFonts w:hint="eastAsia" w:ascii="仿宋_GB2312" w:hAnsi="仿宋_GB2312" w:eastAsia="仿宋_GB2312" w:cs="仿宋_GB2312"/>
          <w:b/>
          <w:bCs/>
          <w:sz w:val="28"/>
          <w:szCs w:val="28"/>
        </w:rPr>
        <w:t>抽样数量</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随机抽取一台样品。</w:t>
      </w:r>
    </w:p>
    <w:p>
      <w:pPr>
        <w:snapToGrid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5.5取样要求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仿宋_GB2312" w:eastAsia="仿宋_GB2312" w:cs="仿宋_GB2312"/>
          <w:b/>
          <w:bCs/>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样品处置</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.1 </w:t>
      </w:r>
      <w:r>
        <w:rPr>
          <w:rFonts w:hint="eastAsia" w:ascii="仿宋_GB2312" w:hAnsi="仿宋_GB2312"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.2</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7</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抽样单</w:t>
      </w:r>
    </w:p>
    <w:p>
      <w:pPr>
        <w:snapToGrid w:val="0"/>
        <w:spacing w:line="360" w:lineRule="auto"/>
        <w:ind w:firstLine="537"/>
        <w:rPr>
          <w:rFonts w:ascii="仿宋_GB2312" w:hAnsi="仿宋_GB2312" w:eastAsia="仿宋_GB2312"/>
          <w:kern w:val="0"/>
          <w:sz w:val="28"/>
          <w:szCs w:val="28"/>
        </w:rPr>
      </w:pPr>
      <w:r>
        <w:rPr>
          <w:rFonts w:hint="eastAsia" w:ascii="仿宋_GB2312" w:hAnsi="仿宋_GB2312" w:eastAsia="仿宋_GB2312" w:cs="仿宋_GB2312"/>
          <w:sz w:val="28"/>
          <w:szCs w:val="28"/>
        </w:rPr>
        <w:t>应按有关规定填写抽样单，并记录被抽查产品及企业相关信息。</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6 </w:t>
      </w:r>
      <w:r>
        <w:rPr>
          <w:rFonts w:hint="eastAsia" w:ascii="仿宋_GB2312" w:hAnsi="仿宋_GB2312" w:eastAsia="仿宋_GB2312" w:cs="仿宋_GB2312"/>
          <w:b/>
          <w:bCs/>
          <w:sz w:val="28"/>
          <w:szCs w:val="28"/>
        </w:rPr>
        <w:t>检验要求</w:t>
      </w:r>
    </w:p>
    <w:p>
      <w:pPr>
        <w:snapToGrid w:val="0"/>
        <w:spacing w:line="360" w:lineRule="auto"/>
        <w:rPr>
          <w:rFonts w:hint="eastAsia" w:ascii="仿宋_GB2312" w:hAnsi="仿宋_GB2312" w:eastAsia="仿宋_GB2312" w:cs="仿宋_GB2312"/>
          <w:sz w:val="28"/>
          <w:szCs w:val="28"/>
        </w:rPr>
      </w:pPr>
      <w:r>
        <w:rPr>
          <w:rFonts w:ascii="仿宋_GB2312" w:hAnsi="仿宋_GB2312" w:eastAsia="仿宋_GB2312" w:cs="仿宋_GB2312"/>
          <w:b/>
          <w:bCs/>
          <w:sz w:val="28"/>
          <w:szCs w:val="28"/>
        </w:rPr>
        <w:t xml:space="preserve">6.1 </w:t>
      </w:r>
      <w:r>
        <w:rPr>
          <w:rFonts w:hint="eastAsia" w:ascii="仿宋_GB2312" w:hAnsi="仿宋_GB2312" w:eastAsia="仿宋_GB2312" w:cs="仿宋_GB2312"/>
          <w:sz w:val="28"/>
          <w:szCs w:val="28"/>
        </w:rPr>
        <w:t>检验项目见表</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p>
    <w:p>
      <w:pPr>
        <w:snapToGrid w:val="0"/>
        <w:spacing w:line="360" w:lineRule="auto"/>
        <w:rPr>
          <w:rFonts w:ascii="仿宋_GB2312" w:hAnsi="仿宋_GB2312" w:eastAsia="仿宋_GB2312"/>
          <w:sz w:val="28"/>
          <w:szCs w:val="28"/>
        </w:rPr>
      </w:pPr>
    </w:p>
    <w:p>
      <w:pPr>
        <w:snapToGrid w:val="0"/>
        <w:spacing w:line="360" w:lineRule="auto"/>
        <w:jc w:val="center"/>
        <w:rPr>
          <w:rFonts w:ascii="黑体" w:hAnsi="黑体" w:eastAsia="黑体"/>
        </w:rPr>
      </w:pPr>
      <w:r>
        <w:rPr>
          <w:rFonts w:hint="eastAsia" w:ascii="黑体" w:hAnsi="黑体" w:eastAsia="黑体" w:cs="黑体"/>
          <w:sz w:val="24"/>
        </w:rPr>
        <w:t>表</w:t>
      </w:r>
      <w:r>
        <w:rPr>
          <w:rFonts w:ascii="黑体" w:hAnsi="黑体" w:eastAsia="黑体" w:cs="黑体"/>
          <w:sz w:val="24"/>
        </w:rPr>
        <w:t xml:space="preserve">2 </w:t>
      </w:r>
      <w:r>
        <w:rPr>
          <w:rFonts w:hint="eastAsia" w:ascii="黑体" w:hAnsi="黑体" w:eastAsia="黑体" w:cs="黑体"/>
          <w:sz w:val="24"/>
        </w:rPr>
        <w:t>检验项目</w:t>
      </w:r>
    </w:p>
    <w:tbl>
      <w:tblPr>
        <w:tblStyle w:val="2"/>
        <w:tblW w:w="98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2351"/>
        <w:gridCol w:w="2531"/>
        <w:gridCol w:w="861"/>
        <w:gridCol w:w="2296"/>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7" w:hRule="atLeast"/>
          <w:tblHeader/>
          <w:jc w:val="center"/>
        </w:trPr>
        <w:tc>
          <w:tcPr>
            <w:tcW w:w="685"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序号</w:t>
            </w:r>
          </w:p>
        </w:tc>
        <w:tc>
          <w:tcPr>
            <w:tcW w:w="2351"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检验项目</w:t>
            </w:r>
          </w:p>
        </w:tc>
        <w:tc>
          <w:tcPr>
            <w:tcW w:w="2531"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依据标准</w:t>
            </w:r>
          </w:p>
        </w:tc>
        <w:tc>
          <w:tcPr>
            <w:tcW w:w="861" w:type="dxa"/>
            <w:noWrap w:val="0"/>
            <w:vAlign w:val="center"/>
          </w:tcPr>
          <w:p>
            <w:pPr>
              <w:snapToGrid w:val="0"/>
              <w:jc w:val="center"/>
              <w:rPr>
                <w:rFonts w:ascii="黑体" w:hAnsi="黑体" w:eastAsia="黑体"/>
                <w:sz w:val="22"/>
                <w:szCs w:val="22"/>
              </w:rPr>
            </w:pPr>
            <w:r>
              <w:rPr>
                <w:rFonts w:hint="eastAsia" w:ascii="黑体" w:hAnsi="黑体" w:eastAsia="黑体" w:cs="黑体"/>
                <w:sz w:val="22"/>
                <w:szCs w:val="22"/>
              </w:rPr>
              <w:t>项目性质</w:t>
            </w:r>
          </w:p>
        </w:tc>
        <w:tc>
          <w:tcPr>
            <w:tcW w:w="2296"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检验方法</w:t>
            </w:r>
          </w:p>
        </w:tc>
        <w:tc>
          <w:tcPr>
            <w:tcW w:w="1162"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1</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气密性</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5.2.1</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6.6</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2</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热负荷</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5.2.2</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6.7</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3</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干烟气中一氧化碳浓度（理论空气系数α＝</w:t>
            </w:r>
            <w:r>
              <w:rPr>
                <w:rFonts w:ascii="仿宋_GB2312" w:hAnsi="仿宋_GB2312" w:eastAsia="仿宋_GB2312" w:cs="仿宋_GB2312"/>
              </w:rPr>
              <w:t>1</w:t>
            </w:r>
            <w:r>
              <w:rPr>
                <w:rFonts w:hint="eastAsia" w:ascii="仿宋_GB2312" w:hAnsi="仿宋_GB2312" w:eastAsia="仿宋_GB2312" w:cs="仿宋_GB2312"/>
              </w:rPr>
              <w:t>，体积百分数）</w:t>
            </w:r>
          </w:p>
        </w:tc>
        <w:tc>
          <w:tcPr>
            <w:tcW w:w="2531" w:type="dxa"/>
            <w:vMerge w:val="restart"/>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5.2.3</w:t>
            </w:r>
          </w:p>
        </w:tc>
        <w:tc>
          <w:tcPr>
            <w:tcW w:w="861" w:type="dxa"/>
            <w:vMerge w:val="restart"/>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vMerge w:val="restart"/>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6.8</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4</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离焰</w:t>
            </w:r>
          </w:p>
        </w:tc>
        <w:tc>
          <w:tcPr>
            <w:tcW w:w="2531" w:type="dxa"/>
            <w:vMerge w:val="continue"/>
            <w:noWrap w:val="0"/>
            <w:vAlign w:val="center"/>
          </w:tcPr>
          <w:p>
            <w:pPr>
              <w:snapToGrid w:val="0"/>
              <w:jc w:val="center"/>
              <w:rPr>
                <w:rFonts w:ascii="仿宋_GB2312" w:hAnsi="仿宋_GB2312" w:eastAsia="仿宋_GB2312"/>
              </w:rPr>
            </w:pPr>
          </w:p>
        </w:tc>
        <w:tc>
          <w:tcPr>
            <w:tcW w:w="861" w:type="dxa"/>
            <w:vMerge w:val="continue"/>
            <w:noWrap w:val="0"/>
            <w:vAlign w:val="center"/>
          </w:tcPr>
          <w:p>
            <w:pPr>
              <w:snapToGrid w:val="0"/>
              <w:jc w:val="center"/>
              <w:rPr>
                <w:rFonts w:ascii="仿宋_GB2312" w:hAnsi="仿宋_GB2312" w:eastAsia="仿宋_GB2312"/>
              </w:rPr>
            </w:pPr>
          </w:p>
        </w:tc>
        <w:tc>
          <w:tcPr>
            <w:tcW w:w="2296" w:type="dxa"/>
            <w:vMerge w:val="continue"/>
            <w:noWrap w:val="0"/>
            <w:vAlign w:val="center"/>
          </w:tcPr>
          <w:p>
            <w:pPr>
              <w:snapToGrid w:val="0"/>
              <w:jc w:val="center"/>
              <w:rPr>
                <w:rFonts w:ascii="仿宋_GB2312" w:hAnsi="仿宋_GB2312" w:eastAsia="仿宋_GB2312"/>
              </w:rPr>
            </w:pP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5</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熄火</w:t>
            </w:r>
          </w:p>
        </w:tc>
        <w:tc>
          <w:tcPr>
            <w:tcW w:w="2531" w:type="dxa"/>
            <w:vMerge w:val="continue"/>
            <w:noWrap w:val="0"/>
            <w:vAlign w:val="center"/>
          </w:tcPr>
          <w:p>
            <w:pPr>
              <w:snapToGrid w:val="0"/>
              <w:jc w:val="center"/>
              <w:rPr>
                <w:rFonts w:ascii="仿宋_GB2312" w:hAnsi="仿宋_GB2312" w:eastAsia="仿宋_GB2312"/>
              </w:rPr>
            </w:pPr>
          </w:p>
        </w:tc>
        <w:tc>
          <w:tcPr>
            <w:tcW w:w="861" w:type="dxa"/>
            <w:vMerge w:val="continue"/>
            <w:noWrap w:val="0"/>
            <w:vAlign w:val="center"/>
          </w:tcPr>
          <w:p>
            <w:pPr>
              <w:snapToGrid w:val="0"/>
              <w:jc w:val="center"/>
              <w:rPr>
                <w:rFonts w:ascii="仿宋_GB2312" w:hAnsi="仿宋_GB2312" w:eastAsia="仿宋_GB2312"/>
              </w:rPr>
            </w:pPr>
          </w:p>
        </w:tc>
        <w:tc>
          <w:tcPr>
            <w:tcW w:w="2296" w:type="dxa"/>
            <w:vMerge w:val="continue"/>
            <w:noWrap w:val="0"/>
            <w:vAlign w:val="center"/>
          </w:tcPr>
          <w:p>
            <w:pPr>
              <w:snapToGrid w:val="0"/>
              <w:jc w:val="center"/>
              <w:rPr>
                <w:rFonts w:ascii="仿宋_GB2312" w:hAnsi="仿宋_GB2312" w:eastAsia="仿宋_GB2312"/>
              </w:rPr>
            </w:pP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6</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回火</w:t>
            </w:r>
          </w:p>
        </w:tc>
        <w:tc>
          <w:tcPr>
            <w:tcW w:w="2531" w:type="dxa"/>
            <w:vMerge w:val="continue"/>
            <w:noWrap w:val="0"/>
            <w:vAlign w:val="center"/>
          </w:tcPr>
          <w:p>
            <w:pPr>
              <w:snapToGrid w:val="0"/>
              <w:jc w:val="center"/>
              <w:rPr>
                <w:rFonts w:ascii="仿宋_GB2312" w:hAnsi="仿宋_GB2312" w:eastAsia="仿宋_GB2312"/>
              </w:rPr>
            </w:pPr>
          </w:p>
        </w:tc>
        <w:tc>
          <w:tcPr>
            <w:tcW w:w="861" w:type="dxa"/>
            <w:vMerge w:val="continue"/>
            <w:noWrap w:val="0"/>
            <w:vAlign w:val="center"/>
          </w:tcPr>
          <w:p>
            <w:pPr>
              <w:snapToGrid w:val="0"/>
              <w:jc w:val="center"/>
              <w:rPr>
                <w:rFonts w:ascii="仿宋_GB2312" w:hAnsi="仿宋_GB2312" w:eastAsia="仿宋_GB2312"/>
              </w:rPr>
            </w:pPr>
          </w:p>
        </w:tc>
        <w:tc>
          <w:tcPr>
            <w:tcW w:w="2296" w:type="dxa"/>
            <w:vMerge w:val="continue"/>
            <w:noWrap w:val="0"/>
            <w:vAlign w:val="center"/>
          </w:tcPr>
          <w:p>
            <w:pPr>
              <w:snapToGrid w:val="0"/>
              <w:jc w:val="center"/>
              <w:rPr>
                <w:rFonts w:ascii="仿宋_GB2312" w:hAnsi="仿宋_GB2312" w:eastAsia="仿宋_GB2312"/>
              </w:rPr>
            </w:pP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7</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小火燃烧器燃烧稳定性</w:t>
            </w:r>
          </w:p>
        </w:tc>
        <w:tc>
          <w:tcPr>
            <w:tcW w:w="2531" w:type="dxa"/>
            <w:vMerge w:val="continue"/>
            <w:noWrap w:val="0"/>
            <w:vAlign w:val="center"/>
          </w:tcPr>
          <w:p>
            <w:pPr>
              <w:snapToGrid w:val="0"/>
              <w:jc w:val="center"/>
              <w:rPr>
                <w:rFonts w:ascii="仿宋_GB2312" w:hAnsi="仿宋_GB2312" w:eastAsia="仿宋_GB2312"/>
              </w:rPr>
            </w:pPr>
          </w:p>
        </w:tc>
        <w:tc>
          <w:tcPr>
            <w:tcW w:w="861" w:type="dxa"/>
            <w:vMerge w:val="continue"/>
            <w:noWrap w:val="0"/>
            <w:vAlign w:val="center"/>
          </w:tcPr>
          <w:p>
            <w:pPr>
              <w:snapToGrid w:val="0"/>
              <w:jc w:val="center"/>
              <w:rPr>
                <w:rFonts w:ascii="仿宋_GB2312" w:hAnsi="仿宋_GB2312" w:eastAsia="仿宋_GB2312"/>
              </w:rPr>
            </w:pPr>
          </w:p>
        </w:tc>
        <w:tc>
          <w:tcPr>
            <w:tcW w:w="2296" w:type="dxa"/>
            <w:vMerge w:val="continue"/>
            <w:noWrap w:val="0"/>
            <w:vAlign w:val="center"/>
          </w:tcPr>
          <w:p>
            <w:pPr>
              <w:snapToGrid w:val="0"/>
              <w:jc w:val="center"/>
              <w:rPr>
                <w:rFonts w:ascii="仿宋_GB2312" w:hAnsi="仿宋_GB2312" w:eastAsia="仿宋_GB2312"/>
              </w:rPr>
            </w:pP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8</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温升</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5.2.4</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6.9</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9</w:t>
            </w:r>
          </w:p>
        </w:tc>
        <w:tc>
          <w:tcPr>
            <w:tcW w:w="2351" w:type="dxa"/>
            <w:noWrap w:val="0"/>
            <w:vAlign w:val="center"/>
          </w:tcPr>
          <w:p>
            <w:pPr>
              <w:snapToGrid w:val="0"/>
              <w:spacing w:line="240" w:lineRule="exact"/>
              <w:jc w:val="center"/>
              <w:rPr>
                <w:rFonts w:ascii="仿宋_GB2312" w:hAnsi="仿宋_GB2312" w:eastAsia="仿宋_GB2312"/>
              </w:rPr>
            </w:pPr>
            <w:r>
              <w:rPr>
                <w:rFonts w:hint="eastAsia" w:ascii="仿宋_GB2312" w:hAnsi="仿宋_GB2312" w:eastAsia="仿宋_GB2312" w:cs="仿宋_GB2312"/>
              </w:rPr>
              <w:t>耐热冲击</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5.2.5</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6.10</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10</w:t>
            </w:r>
          </w:p>
        </w:tc>
        <w:tc>
          <w:tcPr>
            <w:tcW w:w="2351" w:type="dxa"/>
            <w:noWrap w:val="0"/>
            <w:vAlign w:val="center"/>
          </w:tcPr>
          <w:p>
            <w:pPr>
              <w:snapToGrid w:val="0"/>
              <w:spacing w:line="240" w:lineRule="exact"/>
              <w:jc w:val="center"/>
              <w:rPr>
                <w:rFonts w:ascii="仿宋_GB2312" w:hAnsi="仿宋_GB2312" w:eastAsia="仿宋_GB2312"/>
              </w:rPr>
            </w:pPr>
            <w:r>
              <w:rPr>
                <w:rFonts w:hint="eastAsia" w:ascii="仿宋_GB2312" w:hAnsi="仿宋_GB2312" w:eastAsia="仿宋_GB2312" w:cs="仿宋_GB2312"/>
              </w:rPr>
              <w:t>耐重力冲击</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6.11</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11</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熄火保护装置</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5.2.7.1</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6.12</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12</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电点火装置</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5.2.8</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6.13</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rPr>
            </w:pPr>
            <w:r>
              <w:rPr>
                <w:rFonts w:ascii="仿宋_GB2312" w:hAnsi="仿宋_GB2312" w:eastAsia="仿宋_GB2312" w:cs="仿宋_GB2312"/>
              </w:rPr>
              <w:t>13</w:t>
            </w:r>
          </w:p>
        </w:tc>
        <w:tc>
          <w:tcPr>
            <w:tcW w:w="235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燃气导管</w:t>
            </w:r>
          </w:p>
        </w:tc>
        <w:tc>
          <w:tcPr>
            <w:tcW w:w="2531"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GB16410 5.3.1.10 d)</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GB 16410-2007 6.19</w:t>
            </w:r>
          </w:p>
        </w:tc>
        <w:tc>
          <w:tcPr>
            <w:tcW w:w="1162"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bl>
    <w:p>
      <w:pPr>
        <w:snapToGrid w:val="0"/>
        <w:spacing w:line="360" w:lineRule="auto"/>
        <w:rPr>
          <w:rFonts w:ascii="黑体" w:hAnsi="黑体" w:eastAsia="黑体"/>
        </w:rPr>
      </w:pPr>
    </w:p>
    <w:p>
      <w:pPr>
        <w:snapToGrid w:val="0"/>
        <w:spacing w:line="360" w:lineRule="auto"/>
        <w:rPr>
          <w:rFonts w:ascii="仿宋_GB2312" w:hAnsi="仿宋_GB2312" w:eastAsia="仿宋_GB2312"/>
          <w:b/>
          <w:bCs/>
          <w:kern w:val="0"/>
          <w:sz w:val="28"/>
          <w:szCs w:val="28"/>
        </w:rPr>
      </w:pPr>
      <w:r>
        <w:rPr>
          <w:rFonts w:ascii="仿宋_GB2312" w:hAnsi="仿宋_GB2312" w:eastAsia="仿宋_GB2312" w:cs="仿宋_GB2312"/>
          <w:b/>
          <w:bCs/>
          <w:kern w:val="0"/>
          <w:sz w:val="28"/>
          <w:szCs w:val="28"/>
        </w:rPr>
        <w:t xml:space="preserve">6.2 </w:t>
      </w:r>
      <w:r>
        <w:rPr>
          <w:rFonts w:hint="eastAsia" w:ascii="仿宋_GB2312" w:hAnsi="仿宋_GB2312" w:eastAsia="仿宋_GB2312" w:cs="仿宋_GB2312"/>
          <w:b/>
          <w:bCs/>
          <w:kern w:val="0"/>
          <w:sz w:val="28"/>
          <w:szCs w:val="28"/>
        </w:rPr>
        <w:t>检验应注意的问题</w:t>
      </w:r>
    </w:p>
    <w:p>
      <w:pPr>
        <w:snapToGrid w:val="0"/>
        <w:spacing w:line="360" w:lineRule="auto"/>
        <w:rPr>
          <w:rFonts w:ascii="仿宋_GB2312" w:hAnsi="仿宋_GB2312" w:eastAsia="仿宋_GB2312"/>
          <w:kern w:val="0"/>
          <w:sz w:val="28"/>
          <w:szCs w:val="28"/>
        </w:rPr>
      </w:pPr>
      <w:r>
        <w:rPr>
          <w:rFonts w:ascii="仿宋_GB2312" w:hAnsi="仿宋_GB2312" w:eastAsia="仿宋_GB2312" w:cs="仿宋_GB2312"/>
          <w:b/>
          <w:bCs/>
          <w:kern w:val="0"/>
          <w:sz w:val="28"/>
          <w:szCs w:val="28"/>
        </w:rPr>
        <w:t>6.2.1</w:t>
      </w:r>
      <w:r>
        <w:rPr>
          <w:rFonts w:hint="eastAsia" w:ascii="仿宋_GB2312" w:hAnsi="仿宋_GB2312" w:eastAsia="仿宋_GB2312" w:cs="仿宋_GB2312"/>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rPr>
          <w:rFonts w:ascii="仿宋_GB2312" w:hAnsi="仿宋_GB2312" w:eastAsia="仿宋_GB2312"/>
          <w:kern w:val="0"/>
          <w:sz w:val="28"/>
          <w:szCs w:val="28"/>
        </w:rPr>
      </w:pPr>
      <w:r>
        <w:rPr>
          <w:rFonts w:ascii="仿宋_GB2312" w:hAnsi="仿宋_GB2312" w:eastAsia="仿宋_GB2312" w:cs="仿宋_GB2312"/>
          <w:b/>
          <w:bCs/>
          <w:kern w:val="0"/>
          <w:sz w:val="28"/>
          <w:szCs w:val="28"/>
        </w:rPr>
        <w:t>6.2.2</w:t>
      </w:r>
      <w:r>
        <w:rPr>
          <w:rFonts w:hint="eastAsia" w:ascii="仿宋_GB2312" w:hAnsi="仿宋_GB2312" w:eastAsia="仿宋_GB2312" w:cs="仿宋_GB2312"/>
          <w:kern w:val="0"/>
          <w:sz w:val="28"/>
          <w:szCs w:val="28"/>
        </w:rPr>
        <w:t>若被检产品明示的质量要求高于本规范中检验项目依据的强制性标准要求时，应按被检产品明示的质量要求判定；若被检产品明示的质量要求低于或者缺少本规范中检验项目依据的强制性标准要求时，应按强制性标准要求判定。</w:t>
      </w:r>
    </w:p>
    <w:p>
      <w:pPr>
        <w:snapToGrid w:val="0"/>
        <w:spacing w:line="360" w:lineRule="auto"/>
        <w:rPr>
          <w:rFonts w:ascii="仿宋_GB2312" w:hAnsi="仿宋_GB2312" w:eastAsia="仿宋_GB2312"/>
          <w:b/>
          <w:bCs/>
          <w:kern w:val="0"/>
          <w:sz w:val="28"/>
          <w:szCs w:val="28"/>
        </w:rPr>
      </w:pPr>
      <w:r>
        <w:rPr>
          <w:rFonts w:ascii="仿宋_GB2312" w:hAnsi="仿宋_GB2312" w:eastAsia="仿宋_GB2312" w:cs="仿宋_GB2312"/>
          <w:b/>
          <w:bCs/>
          <w:kern w:val="0"/>
          <w:sz w:val="28"/>
          <w:szCs w:val="28"/>
        </w:rPr>
        <w:t xml:space="preserve">7 </w:t>
      </w:r>
      <w:r>
        <w:rPr>
          <w:rFonts w:hint="eastAsia" w:ascii="仿宋_GB2312" w:hAnsi="仿宋_GB2312" w:eastAsia="仿宋_GB2312" w:cs="仿宋_GB2312"/>
          <w:b/>
          <w:bCs/>
          <w:kern w:val="0"/>
          <w:sz w:val="28"/>
          <w:szCs w:val="28"/>
        </w:rPr>
        <w:t>判定原则</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经检验，检验项目全部合格，判定样品合格；检验项目中任一项及一项以上不合格判定样品不合格。</w:t>
      </w:r>
    </w:p>
    <w:p>
      <w:pPr>
        <w:snapToGrid w:val="0"/>
        <w:spacing w:line="360" w:lineRule="auto"/>
        <w:rPr>
          <w:rFonts w:ascii="楷体_GB2312" w:hAnsi="楷体_GB2312" w:eastAsia="楷体_GB2312"/>
          <w:b/>
          <w:bCs/>
          <w:kern w:val="0"/>
          <w:sz w:val="28"/>
          <w:szCs w:val="28"/>
        </w:rPr>
      </w:pPr>
      <w:r>
        <w:rPr>
          <w:rFonts w:ascii="楷体_GB2312" w:hAnsi="楷体_GB2312" w:eastAsia="楷体_GB2312" w:cs="楷体_GB2312"/>
          <w:b/>
          <w:bCs/>
          <w:kern w:val="0"/>
          <w:sz w:val="28"/>
          <w:szCs w:val="28"/>
        </w:rPr>
        <w:t>8.</w:t>
      </w:r>
      <w:r>
        <w:rPr>
          <w:rFonts w:hint="eastAsia" w:ascii="楷体_GB2312" w:hAnsi="楷体_GB2312" w:eastAsia="楷体_GB2312" w:cs="楷体_GB2312"/>
          <w:b/>
          <w:bCs/>
          <w:kern w:val="0"/>
          <w:sz w:val="28"/>
          <w:szCs w:val="28"/>
        </w:rPr>
        <w:t>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9 </w:t>
      </w:r>
      <w:r>
        <w:rPr>
          <w:rFonts w:hint="eastAsia" w:ascii="仿宋_GB2312" w:hAnsi="仿宋_GB2312" w:eastAsia="仿宋_GB2312" w:cs="仿宋_GB2312"/>
          <w:b/>
          <w:bCs/>
          <w:sz w:val="28"/>
          <w:szCs w:val="28"/>
        </w:rPr>
        <w:t>附则</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本规范编制单位：</w:t>
      </w:r>
      <w:r>
        <w:rPr>
          <w:rFonts w:hint="eastAsia" w:ascii="仿宋_GB2312" w:hAnsi="仿宋_GB2312" w:eastAsia="仿宋_GB2312" w:cs="仿宋_GB2312"/>
          <w:kern w:val="0"/>
          <w:sz w:val="28"/>
          <w:szCs w:val="28"/>
        </w:rPr>
        <w:t>佛山市质量计量监督检测中心</w:t>
      </w:r>
      <w:r>
        <w:rPr>
          <w:rFonts w:hint="eastAsia" w:ascii="仿宋_GB2312" w:hAnsi="仿宋_GB2312" w:eastAsia="仿宋_GB2312" w:cs="仿宋_GB2312"/>
          <w:sz w:val="28"/>
          <w:szCs w:val="28"/>
        </w:rPr>
        <w:t>。</w:t>
      </w:r>
    </w:p>
    <w:p>
      <w:pPr>
        <w:ind w:firstLine="560" w:firstLineChars="200"/>
      </w:pPr>
      <w:bookmarkStart w:id="0" w:name="_GoBack"/>
      <w:bookmarkEnd w:id="0"/>
      <w:r>
        <w:rPr>
          <w:rFonts w:hint="eastAsia" w:ascii="仿宋_GB2312" w:hAnsi="仿宋_GB2312" w:eastAsia="仿宋_GB2312" w:cs="仿宋_GB2312"/>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5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2020-07-01T07:22:12Z</dcterms:created>
  <dc:creator>changmy</dc:creator>
  <cp:lastModifiedBy>常孟园</cp:lastModifiedBy>
  <dcterms:modified xsi:type="dcterms:W3CDTF">2020-07-01T07:22:18Z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