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ind w:right="28" w:firstLine="1920" w:firstLineChars="600"/>
        <w:rPr>
          <w:rFonts w:hint="eastAsia" w:ascii="仿宋_GB2312" w:hAnsi="仿宋_GB2312" w:eastAsia="仿宋_GB2312" w:cs="仿宋_GB2312"/>
          <w:b/>
          <w:bCs/>
          <w:kern w:val="0"/>
          <w:sz w:val="32"/>
          <w:szCs w:val="32"/>
        </w:rPr>
      </w:pPr>
      <w:r>
        <w:rPr>
          <w:rFonts w:hint="eastAsia" w:ascii="黑体" w:hAnsi="黑体" w:eastAsia="黑体" w:cs="黑体"/>
          <w:kern w:val="0"/>
          <w:sz w:val="32"/>
          <w:szCs w:val="32"/>
        </w:rPr>
        <w:t>附件1</w:t>
      </w:r>
    </w:p>
    <w:p>
      <w:pPr>
        <w:spacing w:line="360" w:lineRule="auto"/>
        <w:jc w:val="center"/>
        <w:rPr>
          <w:rFonts w:ascii="黑体" w:hAnsi="黑体" w:eastAsia="黑体"/>
          <w:sz w:val="36"/>
          <w:szCs w:val="36"/>
        </w:rPr>
      </w:pPr>
      <w:r>
        <w:rPr>
          <w:rFonts w:hint="eastAsia" w:ascii="黑体" w:hAnsi="黑体" w:eastAsia="黑体" w:cs="黑体"/>
          <w:sz w:val="36"/>
          <w:szCs w:val="36"/>
        </w:rPr>
        <w:t>深圳市市场监督管理局</w:t>
      </w:r>
    </w:p>
    <w:p>
      <w:pPr>
        <w:spacing w:line="360" w:lineRule="auto"/>
        <w:jc w:val="center"/>
        <w:rPr>
          <w:rFonts w:ascii="黑体" w:hAnsi="黑体" w:eastAsia="黑体"/>
          <w:sz w:val="36"/>
          <w:szCs w:val="36"/>
        </w:rPr>
      </w:pPr>
      <w:r>
        <w:rPr>
          <w:rFonts w:hint="eastAsia" w:ascii="黑体" w:hAnsi="黑体" w:eastAsia="黑体" w:cs="黑体"/>
          <w:sz w:val="36"/>
          <w:szCs w:val="36"/>
        </w:rPr>
        <w:t>瓶装液化石油气调压器产品质量监督抽查实施规范</w:t>
      </w:r>
    </w:p>
    <w:p>
      <w:pPr>
        <w:spacing w:line="360" w:lineRule="auto"/>
        <w:jc w:val="center"/>
      </w:pPr>
      <w:r>
        <w:rPr>
          <w:rFonts w:hint="eastAsia" w:ascii="黑体" w:hAnsi="黑体" w:eastAsia="黑体" w:cs="黑体"/>
          <w:sz w:val="32"/>
          <w:szCs w:val="32"/>
        </w:rPr>
        <w:t>（编号：</w:t>
      </w:r>
      <w:r>
        <w:rPr>
          <w:rFonts w:ascii="黑体" w:hAnsi="黑体" w:eastAsia="黑体" w:cs="黑体"/>
          <w:sz w:val="32"/>
          <w:szCs w:val="32"/>
        </w:rPr>
        <w:t>CCGF-SZ-</w:t>
      </w:r>
      <w:r>
        <w:rPr>
          <w:rFonts w:hint="eastAsia" w:ascii="黑体" w:hAnsi="黑体" w:eastAsia="黑体" w:cs="黑体"/>
          <w:sz w:val="32"/>
          <w:szCs w:val="32"/>
        </w:rPr>
        <w:t>141</w:t>
      </w:r>
      <w:r>
        <w:rPr>
          <w:rFonts w:ascii="黑体" w:hAnsi="黑体" w:eastAsia="黑体" w:cs="黑体"/>
          <w:sz w:val="32"/>
          <w:szCs w:val="32"/>
        </w:rPr>
        <w:t>-2020</w:t>
      </w:r>
      <w:r>
        <w:rPr>
          <w:rFonts w:hint="eastAsia" w:ascii="黑体" w:hAnsi="黑体" w:eastAsia="黑体" w:cs="黑体"/>
          <w:sz w:val="32"/>
          <w:szCs w:val="32"/>
        </w:rPr>
        <w:t>）</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1 </w:t>
      </w:r>
      <w:r>
        <w:rPr>
          <w:rFonts w:hint="eastAsia" w:ascii="仿宋_GB2312" w:hAnsi="仿宋_GB2312" w:eastAsia="仿宋_GB2312" w:cs="仿宋_GB2312"/>
          <w:b/>
          <w:bCs/>
          <w:sz w:val="28"/>
          <w:szCs w:val="28"/>
        </w:rPr>
        <w:t>适用范围</w:t>
      </w:r>
    </w:p>
    <w:p>
      <w:pPr>
        <w:snapToGrid w:val="0"/>
        <w:spacing w:line="360" w:lineRule="auto"/>
        <w:ind w:firstLine="537"/>
        <w:rPr>
          <w:rFonts w:ascii="仿宋_GB2312" w:hAnsi="仿宋_GB2312" w:eastAsia="仿宋_GB2312"/>
          <w:sz w:val="28"/>
          <w:szCs w:val="28"/>
        </w:rPr>
      </w:pPr>
      <w:r>
        <w:rPr>
          <w:rFonts w:hint="eastAsia" w:ascii="仿宋_GB2312" w:hAnsi="仿宋_GB2312" w:eastAsia="仿宋_GB2312" w:cs="仿宋_GB2312"/>
          <w:sz w:val="28"/>
          <w:szCs w:val="28"/>
        </w:rPr>
        <w:t>本规范适用于深圳市生产、流通领域瓶装液化石油气调压器产品质量监督抽查。监督抽查产品范围包括：瓶装液化石油气调压器。</w:t>
      </w:r>
    </w:p>
    <w:p>
      <w:pPr>
        <w:snapToGrid w:val="0"/>
        <w:spacing w:line="360" w:lineRule="auto"/>
        <w:ind w:firstLine="537"/>
        <w:rPr>
          <w:rFonts w:ascii="仿宋_GB2312" w:hAnsi="仿宋_GB2312" w:eastAsia="仿宋_GB2312"/>
          <w:sz w:val="28"/>
          <w:szCs w:val="28"/>
        </w:rPr>
      </w:pPr>
      <w:r>
        <w:rPr>
          <w:rFonts w:hint="eastAsia" w:ascii="仿宋_GB2312" w:hAnsi="仿宋_GB2312" w:eastAsia="仿宋_GB2312" w:cs="仿宋_GB2312"/>
          <w:sz w:val="28"/>
          <w:szCs w:val="28"/>
        </w:rPr>
        <w:t>本规范内容包括适用范围、产品种类、术语和定义、检验依据、抽样、检验要求，判定原则及异议处理复检。</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2 </w:t>
      </w:r>
      <w:r>
        <w:rPr>
          <w:rFonts w:hint="eastAsia" w:ascii="仿宋_GB2312" w:hAnsi="仿宋_GB2312" w:eastAsia="仿宋_GB2312" w:cs="仿宋_GB2312"/>
          <w:b/>
          <w:bCs/>
          <w:sz w:val="28"/>
          <w:szCs w:val="28"/>
        </w:rPr>
        <w:t>产品种类</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产品种类见表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snapToGrid w:val="0"/>
        <w:spacing w:line="360" w:lineRule="auto"/>
        <w:jc w:val="center"/>
        <w:rPr>
          <w:rFonts w:ascii="黑体" w:hAnsi="黑体" w:eastAsia="黑体"/>
          <w:sz w:val="24"/>
        </w:rPr>
      </w:pPr>
      <w:r>
        <w:rPr>
          <w:rFonts w:hint="eastAsia" w:ascii="黑体" w:hAnsi="黑体" w:eastAsia="黑体" w:cs="黑体"/>
          <w:sz w:val="24"/>
        </w:rPr>
        <w:t>表</w:t>
      </w:r>
      <w:r>
        <w:rPr>
          <w:rFonts w:ascii="黑体" w:hAnsi="黑体" w:eastAsia="黑体" w:cs="黑体"/>
          <w:sz w:val="24"/>
        </w:rPr>
        <w:t xml:space="preserve">1  </w:t>
      </w:r>
      <w:r>
        <w:rPr>
          <w:rFonts w:hint="eastAsia" w:ascii="黑体" w:hAnsi="黑体" w:eastAsia="黑体" w:cs="黑体"/>
          <w:sz w:val="24"/>
        </w:rPr>
        <w:t>产品种类</w:t>
      </w:r>
    </w:p>
    <w:tbl>
      <w:tblPr>
        <w:tblStyle w:val="2"/>
        <w:tblW w:w="63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1"/>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blHeader/>
          <w:jc w:val="center"/>
        </w:trPr>
        <w:tc>
          <w:tcPr>
            <w:tcW w:w="2121" w:type="dxa"/>
            <w:noWrap w:val="0"/>
            <w:vAlign w:val="center"/>
          </w:tcPr>
          <w:p>
            <w:pPr>
              <w:snapToGrid w:val="0"/>
              <w:jc w:val="center"/>
              <w:rPr>
                <w:rFonts w:ascii="黑体" w:hAnsi="黑体" w:eastAsia="黑体"/>
                <w:sz w:val="24"/>
              </w:rPr>
            </w:pPr>
            <w:r>
              <w:rPr>
                <w:rFonts w:hint="eastAsia" w:ascii="黑体" w:hAnsi="黑体" w:eastAsia="黑体" w:cs="黑体"/>
                <w:sz w:val="24"/>
              </w:rPr>
              <w:t>分类方式</w:t>
            </w:r>
          </w:p>
        </w:tc>
        <w:tc>
          <w:tcPr>
            <w:tcW w:w="4253" w:type="dxa"/>
            <w:noWrap w:val="0"/>
            <w:vAlign w:val="center"/>
          </w:tcPr>
          <w:p>
            <w:pPr>
              <w:snapToGrid w:val="0"/>
              <w:jc w:val="center"/>
              <w:rPr>
                <w:rFonts w:ascii="黑体" w:hAnsi="黑体" w:eastAsia="黑体"/>
                <w:sz w:val="24"/>
              </w:rPr>
            </w:pPr>
            <w:r>
              <w:rPr>
                <w:rFonts w:hint="eastAsia" w:ascii="黑体" w:hAnsi="黑体" w:eastAsia="黑体" w:cs="黑体"/>
                <w:sz w:val="24"/>
              </w:rPr>
              <w:t>分类内容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blHeader/>
          <w:jc w:val="center"/>
        </w:trPr>
        <w:tc>
          <w:tcPr>
            <w:tcW w:w="2121" w:type="dxa"/>
            <w:noWrap w:val="0"/>
            <w:vAlign w:val="center"/>
          </w:tcPr>
          <w:p>
            <w:pPr>
              <w:snapToGrid w:val="0"/>
              <w:jc w:val="center"/>
              <w:rPr>
                <w:rFonts w:ascii="仿宋_GB2312" w:hAnsi="仿宋_GB2312" w:eastAsia="仿宋_GB2312"/>
                <w:sz w:val="24"/>
              </w:rPr>
            </w:pPr>
            <w:r>
              <w:rPr>
                <w:rFonts w:hint="eastAsia" w:ascii="仿宋_GB2312" w:hAnsi="仿宋_GB2312" w:eastAsia="仿宋_GB2312" w:cs="仿宋_GB2312"/>
                <w:sz w:val="24"/>
              </w:rPr>
              <w:t>结构</w:t>
            </w:r>
          </w:p>
        </w:tc>
        <w:tc>
          <w:tcPr>
            <w:tcW w:w="4253" w:type="dxa"/>
            <w:noWrap w:val="0"/>
            <w:vAlign w:val="center"/>
          </w:tcPr>
          <w:p>
            <w:pPr>
              <w:snapToGrid w:val="0"/>
              <w:jc w:val="center"/>
              <w:rPr>
                <w:rFonts w:ascii="仿宋_GB2312" w:hAnsi="仿宋_GB2312" w:eastAsia="仿宋_GB2312"/>
                <w:sz w:val="24"/>
              </w:rPr>
            </w:pPr>
            <w:r>
              <w:rPr>
                <w:rFonts w:hint="eastAsia" w:ascii="仿宋_GB2312" w:hAnsi="仿宋_GB2312" w:eastAsia="仿宋_GB2312" w:cs="仿宋_GB2312"/>
                <w:sz w:val="24"/>
              </w:rPr>
              <w:t>家用、非家用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blHeader/>
          <w:jc w:val="center"/>
        </w:trPr>
        <w:tc>
          <w:tcPr>
            <w:tcW w:w="2121" w:type="dxa"/>
            <w:noWrap w:val="0"/>
            <w:vAlign w:val="center"/>
          </w:tcPr>
          <w:p>
            <w:pPr>
              <w:snapToGrid w:val="0"/>
              <w:jc w:val="center"/>
              <w:rPr>
                <w:rFonts w:ascii="仿宋_GB2312" w:hAnsi="仿宋_GB2312" w:eastAsia="仿宋_GB2312"/>
                <w:sz w:val="24"/>
              </w:rPr>
            </w:pPr>
            <w:r>
              <w:rPr>
                <w:rFonts w:hint="eastAsia" w:ascii="仿宋_GB2312" w:hAnsi="仿宋_GB2312" w:eastAsia="仿宋_GB2312" w:cs="仿宋_GB2312"/>
                <w:sz w:val="24"/>
              </w:rPr>
              <w:t>功能</w:t>
            </w:r>
          </w:p>
        </w:tc>
        <w:tc>
          <w:tcPr>
            <w:tcW w:w="4253" w:type="dxa"/>
            <w:noWrap w:val="0"/>
            <w:vAlign w:val="center"/>
          </w:tcPr>
          <w:p>
            <w:pPr>
              <w:snapToGrid w:val="0"/>
              <w:jc w:val="center"/>
              <w:rPr>
                <w:rFonts w:ascii="仿宋_GB2312" w:hAnsi="仿宋_GB2312" w:eastAsia="仿宋_GB2312"/>
                <w:sz w:val="24"/>
              </w:rPr>
            </w:pPr>
            <w:r>
              <w:rPr>
                <w:rFonts w:hint="eastAsia" w:ascii="仿宋_GB2312" w:hAnsi="仿宋_GB2312" w:eastAsia="仿宋_GB2312" w:cs="仿宋_GB2312"/>
                <w:sz w:val="24"/>
              </w:rPr>
              <w:t>单功能、多功能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blHeader/>
          <w:jc w:val="center"/>
        </w:trPr>
        <w:tc>
          <w:tcPr>
            <w:tcW w:w="2121" w:type="dxa"/>
            <w:noWrap w:val="0"/>
            <w:vAlign w:val="center"/>
          </w:tcPr>
          <w:p>
            <w:pPr>
              <w:snapToGrid w:val="0"/>
              <w:jc w:val="center"/>
              <w:rPr>
                <w:rFonts w:ascii="仿宋_GB2312" w:hAnsi="仿宋_GB2312" w:eastAsia="仿宋_GB2312"/>
                <w:sz w:val="24"/>
              </w:rPr>
            </w:pPr>
            <w:r>
              <w:rPr>
                <w:rFonts w:hint="eastAsia" w:ascii="仿宋_GB2312" w:hAnsi="仿宋_GB2312" w:eastAsia="仿宋_GB2312" w:cs="仿宋_GB2312"/>
                <w:sz w:val="24"/>
              </w:rPr>
              <w:t>出气口数量</w:t>
            </w:r>
          </w:p>
        </w:tc>
        <w:tc>
          <w:tcPr>
            <w:tcW w:w="4253" w:type="dxa"/>
            <w:noWrap w:val="0"/>
            <w:vAlign w:val="center"/>
          </w:tcPr>
          <w:p>
            <w:pPr>
              <w:snapToGrid w:val="0"/>
              <w:jc w:val="center"/>
              <w:rPr>
                <w:rFonts w:ascii="仿宋_GB2312" w:hAnsi="仿宋_GB2312" w:eastAsia="仿宋_GB2312"/>
                <w:sz w:val="24"/>
              </w:rPr>
            </w:pPr>
            <w:r>
              <w:rPr>
                <w:rFonts w:hint="eastAsia" w:ascii="仿宋_GB2312" w:hAnsi="仿宋_GB2312" w:eastAsia="仿宋_GB2312" w:cs="仿宋_GB2312"/>
                <w:sz w:val="24"/>
              </w:rPr>
              <w:t>单出口、多出口</w:t>
            </w:r>
          </w:p>
        </w:tc>
      </w:tr>
    </w:tbl>
    <w:p>
      <w:pPr>
        <w:snapToGrid w:val="0"/>
        <w:spacing w:line="360" w:lineRule="auto"/>
        <w:rPr>
          <w:rFonts w:ascii="仿宋_GB2312" w:hAnsi="仿宋_GB2312" w:eastAsia="仿宋_GB2312"/>
          <w:b/>
          <w:bCs/>
          <w:sz w:val="28"/>
          <w:szCs w:val="28"/>
        </w:rPr>
      </w:pP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3 </w:t>
      </w:r>
      <w:r>
        <w:rPr>
          <w:rFonts w:hint="eastAsia" w:ascii="仿宋_GB2312" w:hAnsi="仿宋_GB2312" w:eastAsia="仿宋_GB2312" w:cs="仿宋_GB2312"/>
          <w:b/>
          <w:bCs/>
          <w:sz w:val="28"/>
          <w:szCs w:val="28"/>
        </w:rPr>
        <w:t>术语和定义</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本规范未列出的术语和定义同检验依据标准。</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4 </w:t>
      </w:r>
      <w:r>
        <w:rPr>
          <w:rFonts w:hint="eastAsia" w:ascii="仿宋_GB2312" w:hAnsi="仿宋_GB2312" w:eastAsia="仿宋_GB2312" w:cs="仿宋_GB2312"/>
          <w:b/>
          <w:bCs/>
          <w:sz w:val="28"/>
          <w:szCs w:val="28"/>
        </w:rPr>
        <w:t>检验依据</w:t>
      </w:r>
    </w:p>
    <w:p>
      <w:pPr>
        <w:snapToGrid w:val="0"/>
        <w:spacing w:line="360" w:lineRule="auto"/>
        <w:ind w:firstLine="560"/>
        <w:rPr>
          <w:rFonts w:hint="eastAsia" w:ascii="仿宋_GB2312" w:hAnsi="仿宋_GB2312" w:eastAsia="仿宋_GB2312" w:cs="仿宋_GB2312"/>
          <w:sz w:val="28"/>
          <w:szCs w:val="28"/>
        </w:rPr>
      </w:pPr>
      <w:r>
        <w:rPr>
          <w:rFonts w:ascii="仿宋_GB2312" w:hAnsi="仿宋_GB2312" w:eastAsia="仿宋_GB2312" w:cs="仿宋_GB2312"/>
          <w:sz w:val="28"/>
          <w:szCs w:val="28"/>
        </w:rPr>
        <w:t xml:space="preserve">CJ 50-2008 </w:t>
      </w:r>
      <w:r>
        <w:rPr>
          <w:rFonts w:hint="eastAsia" w:ascii="仿宋_GB2312" w:hAnsi="仿宋_GB2312" w:eastAsia="仿宋_GB2312" w:cs="仿宋_GB2312"/>
          <w:sz w:val="28"/>
          <w:szCs w:val="28"/>
        </w:rPr>
        <w:t>《瓶装液化石油气调压器》</w:t>
      </w:r>
    </w:p>
    <w:p>
      <w:pPr>
        <w:snapToGrid w:val="0"/>
        <w:spacing w:line="360" w:lineRule="auto"/>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 35844-2018《瓶装液化石油气调压器》</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 </w:t>
      </w:r>
      <w:r>
        <w:rPr>
          <w:rFonts w:hint="eastAsia" w:ascii="仿宋_GB2312" w:hAnsi="仿宋_GB2312" w:eastAsia="仿宋_GB2312" w:cs="仿宋_GB2312"/>
          <w:b/>
          <w:bCs/>
          <w:sz w:val="28"/>
          <w:szCs w:val="28"/>
        </w:rPr>
        <w:t>抽样</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5.1 </w:t>
      </w:r>
      <w:r>
        <w:rPr>
          <w:rFonts w:hint="eastAsia" w:ascii="仿宋_GB2312" w:hAnsi="仿宋_GB2312" w:eastAsia="仿宋_GB2312" w:cs="仿宋_GB2312"/>
          <w:b/>
          <w:bCs/>
          <w:sz w:val="28"/>
          <w:szCs w:val="28"/>
        </w:rPr>
        <w:t>抽样型号或规格</w:t>
      </w:r>
    </w:p>
    <w:p>
      <w:pPr>
        <w:snapToGrid w:val="0"/>
        <w:spacing w:line="360" w:lineRule="auto"/>
        <w:ind w:firstLine="537"/>
        <w:rPr>
          <w:rFonts w:ascii="仿宋_GB2312" w:hAnsi="仿宋_GB2312" w:eastAsia="仿宋_GB2312"/>
          <w:sz w:val="28"/>
          <w:szCs w:val="28"/>
        </w:rPr>
      </w:pPr>
      <w:r>
        <w:rPr>
          <w:rFonts w:hint="eastAsia" w:ascii="仿宋_GB2312" w:hAnsi="仿宋_GB2312" w:eastAsia="仿宋_GB2312" w:cs="仿宋_GB2312"/>
          <w:sz w:val="28"/>
          <w:szCs w:val="28"/>
        </w:rPr>
        <w:t>抽取样品须为同一型号规格、同一批次的产品。</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5.2 </w:t>
      </w:r>
      <w:r>
        <w:rPr>
          <w:rFonts w:hint="eastAsia" w:ascii="仿宋_GB2312" w:hAnsi="仿宋_GB2312" w:eastAsia="仿宋_GB2312" w:cs="仿宋_GB2312"/>
          <w:b/>
          <w:bCs/>
          <w:sz w:val="28"/>
          <w:szCs w:val="28"/>
        </w:rPr>
        <w:t>抽样方法</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流通领域：在流通领域抽样可在实体店以及网络交易平台两种途径获得样品。</w:t>
      </w:r>
    </w:p>
    <w:p>
      <w:pPr>
        <w:snapToGrid w:val="0"/>
        <w:spacing w:line="360" w:lineRule="auto"/>
        <w:rPr>
          <w:rFonts w:ascii="仿宋_GB2312" w:hAnsi="宋体" w:eastAsia="仿宋_GB2312"/>
          <w:sz w:val="28"/>
          <w:szCs w:val="28"/>
        </w:rPr>
      </w:pPr>
      <w:r>
        <w:rPr>
          <w:rFonts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p>
    <w:p>
      <w:pPr>
        <w:snapToGrid w:val="0"/>
        <w:spacing w:line="360" w:lineRule="auto"/>
        <w:ind w:firstLine="560"/>
        <w:rPr>
          <w:rFonts w:ascii="仿宋_GB2312" w:hAnsi="仿宋_GB2312" w:eastAsia="仿宋_GB2312"/>
          <w:sz w:val="28"/>
          <w:szCs w:val="28"/>
        </w:rPr>
      </w:pPr>
      <w:r>
        <w:rPr>
          <w:rFonts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5.3 </w:t>
      </w:r>
      <w:r>
        <w:rPr>
          <w:rFonts w:hint="eastAsia" w:ascii="仿宋_GB2312" w:hAnsi="仿宋_GB2312" w:eastAsia="仿宋_GB2312" w:cs="仿宋_GB2312"/>
          <w:b/>
          <w:bCs/>
          <w:sz w:val="28"/>
          <w:szCs w:val="28"/>
        </w:rPr>
        <w:t>抽样基数</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在生产企业成品库内抽样时，同一批次产品库存基数应不少于</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只，当库存基数少于</w:t>
      </w:r>
      <w:r>
        <w:rPr>
          <w:rFonts w:ascii="仿宋_GB2312" w:hAnsi="仿宋_GB2312" w:eastAsia="仿宋_GB2312" w:cs="仿宋_GB2312"/>
          <w:sz w:val="28"/>
          <w:szCs w:val="28"/>
        </w:rPr>
        <w:t>100</w:t>
      </w:r>
      <w:r>
        <w:rPr>
          <w:rFonts w:hint="eastAsia" w:ascii="仿宋_GB2312" w:hAnsi="仿宋_GB2312" w:eastAsia="仿宋_GB2312" w:cs="仿宋_GB2312"/>
          <w:sz w:val="28"/>
          <w:szCs w:val="28"/>
        </w:rPr>
        <w:t>只或无库存时，应在企业生产线末端上进行抽样；在市场上抽样时，抽样基数应不少于抽取样品量。</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5.4 </w:t>
      </w:r>
      <w:r>
        <w:rPr>
          <w:rFonts w:hint="eastAsia" w:ascii="仿宋_GB2312" w:hAnsi="仿宋_GB2312" w:eastAsia="仿宋_GB2312" w:cs="仿宋_GB2312"/>
          <w:b/>
          <w:bCs/>
          <w:sz w:val="28"/>
          <w:szCs w:val="28"/>
        </w:rPr>
        <w:t>抽样数量</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随机抽取</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只样品，其中</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只样品用于检验，另</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只样品用于留样。</w:t>
      </w:r>
    </w:p>
    <w:p>
      <w:pPr>
        <w:snapToGrid w:val="0"/>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5.5取样要求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hint="eastAsia" w:ascii="仿宋_GB2312" w:hAnsi="仿宋_GB2312" w:eastAsia="仿宋_GB2312" w:cs="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样品处置</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 xml:space="preserve">.1 </w:t>
      </w:r>
      <w:r>
        <w:rPr>
          <w:rFonts w:hint="eastAsia" w:ascii="仿宋_GB2312" w:hAnsi="仿宋_GB2312" w:eastAsia="仿宋_GB2312" w:cs="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6</w:t>
      </w:r>
      <w:r>
        <w:rPr>
          <w:rFonts w:ascii="仿宋_GB2312" w:hAnsi="仿宋_GB2312" w:eastAsia="仿宋_GB2312" w:cs="仿宋_GB2312"/>
          <w:b/>
          <w:bCs/>
          <w:sz w:val="28"/>
          <w:szCs w:val="28"/>
        </w:rPr>
        <w:t>.2</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5.</w:t>
      </w:r>
      <w:r>
        <w:rPr>
          <w:rFonts w:hint="eastAsia" w:ascii="仿宋_GB2312" w:hAnsi="仿宋_GB2312" w:eastAsia="仿宋_GB2312" w:cs="仿宋_GB2312"/>
          <w:b/>
          <w:bCs/>
          <w:sz w:val="28"/>
          <w:szCs w:val="28"/>
        </w:rPr>
        <w:t>7抽样单</w:t>
      </w:r>
    </w:p>
    <w:p>
      <w:pPr>
        <w:snapToGrid w:val="0"/>
        <w:spacing w:line="360" w:lineRule="auto"/>
        <w:ind w:firstLine="537"/>
        <w:rPr>
          <w:rFonts w:ascii="仿宋_GB2312" w:hAnsi="仿宋_GB2312" w:eastAsia="仿宋_GB2312"/>
          <w:kern w:val="0"/>
          <w:sz w:val="28"/>
          <w:szCs w:val="28"/>
        </w:rPr>
      </w:pPr>
      <w:r>
        <w:rPr>
          <w:rFonts w:hint="eastAsia" w:ascii="仿宋_GB2312" w:hAnsi="仿宋_GB2312" w:eastAsia="仿宋_GB2312" w:cs="仿宋_GB2312"/>
          <w:sz w:val="28"/>
          <w:szCs w:val="28"/>
        </w:rPr>
        <w:t>应按有关规定填写抽样单，并记录被抽查产品及企业相关信息。</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6 </w:t>
      </w:r>
      <w:r>
        <w:rPr>
          <w:rFonts w:hint="eastAsia" w:ascii="仿宋_GB2312" w:hAnsi="仿宋_GB2312" w:eastAsia="仿宋_GB2312" w:cs="仿宋_GB2312"/>
          <w:b/>
          <w:bCs/>
          <w:sz w:val="28"/>
          <w:szCs w:val="28"/>
        </w:rPr>
        <w:t>检验要求</w:t>
      </w:r>
    </w:p>
    <w:p>
      <w:pPr>
        <w:snapToGrid w:val="0"/>
        <w:spacing w:line="360" w:lineRule="auto"/>
        <w:rPr>
          <w:rFonts w:ascii="仿宋_GB2312" w:hAnsi="仿宋_GB2312" w:eastAsia="仿宋_GB2312"/>
          <w:sz w:val="28"/>
          <w:szCs w:val="28"/>
        </w:rPr>
      </w:pPr>
      <w:r>
        <w:rPr>
          <w:rFonts w:ascii="仿宋_GB2312" w:hAnsi="仿宋_GB2312" w:eastAsia="仿宋_GB2312" w:cs="仿宋_GB2312"/>
          <w:b/>
          <w:bCs/>
          <w:sz w:val="28"/>
          <w:szCs w:val="28"/>
        </w:rPr>
        <w:t xml:space="preserve">6.1 </w:t>
      </w:r>
      <w:r>
        <w:rPr>
          <w:rFonts w:hint="eastAsia" w:ascii="仿宋_GB2312" w:hAnsi="仿宋_GB2312" w:eastAsia="仿宋_GB2312" w:cs="仿宋_GB2312"/>
          <w:sz w:val="28"/>
          <w:szCs w:val="28"/>
        </w:rPr>
        <w:t>检验项目见表</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p>
    <w:p>
      <w:pPr>
        <w:snapToGrid w:val="0"/>
        <w:spacing w:line="360" w:lineRule="auto"/>
        <w:jc w:val="center"/>
        <w:rPr>
          <w:rFonts w:ascii="黑体" w:hAnsi="黑体" w:eastAsia="黑体"/>
          <w:sz w:val="24"/>
        </w:rPr>
      </w:pPr>
      <w:r>
        <w:rPr>
          <w:rFonts w:hint="eastAsia" w:ascii="黑体" w:hAnsi="黑体" w:eastAsia="黑体" w:cs="黑体"/>
          <w:sz w:val="24"/>
        </w:rPr>
        <w:t>表</w:t>
      </w:r>
      <w:r>
        <w:rPr>
          <w:rFonts w:ascii="黑体" w:hAnsi="黑体" w:eastAsia="黑体" w:cs="黑体"/>
          <w:sz w:val="24"/>
        </w:rPr>
        <w:t xml:space="preserve">2 </w:t>
      </w:r>
      <w:r>
        <w:rPr>
          <w:rFonts w:hint="eastAsia" w:ascii="黑体" w:hAnsi="黑体" w:eastAsia="黑体" w:cs="黑体"/>
          <w:sz w:val="24"/>
        </w:rPr>
        <w:t>检验项目（适用于</w:t>
      </w:r>
      <w:r>
        <w:rPr>
          <w:rFonts w:ascii="黑体" w:hAnsi="黑体" w:eastAsia="黑体" w:cs="黑体"/>
          <w:sz w:val="24"/>
        </w:rPr>
        <w:t>2019</w:t>
      </w:r>
      <w:r>
        <w:rPr>
          <w:rFonts w:hint="eastAsia" w:ascii="黑体" w:hAnsi="黑体" w:eastAsia="黑体" w:cs="黑体"/>
          <w:sz w:val="24"/>
        </w:rPr>
        <w:t>年</w:t>
      </w:r>
      <w:r>
        <w:rPr>
          <w:rFonts w:ascii="黑体" w:hAnsi="黑体" w:eastAsia="黑体" w:cs="黑体"/>
          <w:sz w:val="24"/>
        </w:rPr>
        <w:t>3</w:t>
      </w:r>
      <w:r>
        <w:rPr>
          <w:rFonts w:hint="eastAsia" w:ascii="黑体" w:hAnsi="黑体" w:eastAsia="黑体" w:cs="黑体"/>
          <w:sz w:val="24"/>
        </w:rPr>
        <w:t>月</w:t>
      </w:r>
      <w:r>
        <w:rPr>
          <w:rFonts w:ascii="黑体" w:hAnsi="黑体" w:eastAsia="黑体" w:cs="黑体"/>
          <w:sz w:val="24"/>
        </w:rPr>
        <w:t>1</w:t>
      </w:r>
      <w:r>
        <w:rPr>
          <w:rFonts w:hint="eastAsia" w:ascii="黑体" w:hAnsi="黑体" w:eastAsia="黑体" w:cs="黑体"/>
          <w:sz w:val="24"/>
        </w:rPr>
        <w:t>日前生产的瓶装液化石油气调压器）</w:t>
      </w:r>
    </w:p>
    <w:tbl>
      <w:tblPr>
        <w:tblStyle w:val="2"/>
        <w:tblW w:w="101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2705"/>
        <w:gridCol w:w="2216"/>
        <w:gridCol w:w="1274"/>
        <w:gridCol w:w="2441"/>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tblHeader/>
          <w:jc w:val="center"/>
        </w:trPr>
        <w:tc>
          <w:tcPr>
            <w:tcW w:w="676"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序号</w:t>
            </w:r>
          </w:p>
        </w:tc>
        <w:tc>
          <w:tcPr>
            <w:tcW w:w="2705"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检验项目</w:t>
            </w:r>
          </w:p>
        </w:tc>
        <w:tc>
          <w:tcPr>
            <w:tcW w:w="2216"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依据法律法规或标准条款</w:t>
            </w:r>
          </w:p>
        </w:tc>
        <w:tc>
          <w:tcPr>
            <w:tcW w:w="1274"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项目性质</w:t>
            </w:r>
          </w:p>
        </w:tc>
        <w:tc>
          <w:tcPr>
            <w:tcW w:w="2441"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检测方法</w:t>
            </w:r>
          </w:p>
        </w:tc>
        <w:tc>
          <w:tcPr>
            <w:tcW w:w="788"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1</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橡胶件耐液化石油气性能</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5.1.3.1</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7.11.1</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2</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塑料件耐液化石油气性能</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5.1.3.3</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7.11.2</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3</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结构</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5.2</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7.10</w:t>
            </w:r>
            <w:r>
              <w:rPr>
                <w:rFonts w:hint="eastAsia" w:ascii="仿宋_GB2312" w:hAnsi="仿宋_GB2312" w:eastAsia="仿宋_GB2312" w:cs="仿宋_GB2312"/>
              </w:rPr>
              <w:t>、</w:t>
            </w:r>
            <w:r>
              <w:rPr>
                <w:rFonts w:ascii="仿宋_GB2312" w:hAnsi="仿宋_GB2312" w:eastAsia="仿宋_GB2312" w:cs="仿宋_GB2312"/>
              </w:rPr>
              <w:t>7.12</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4</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气密性</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6.3</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7.3</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5</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调压静特性关闭压力</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6.6.2</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7.6</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6</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调压静特性出口压力</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6.6.3</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7.6</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7</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膜片强度</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6.7.1</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7.7.1</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8</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整体强度</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6.7.2</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7.7.2</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9</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进口侧强度</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6.7.3</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7.7.3</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10</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手轮强度</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6.7.4</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7.7.4</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11</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坠落试验</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6.7.5</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7.7.5</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12</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出气口强度</w:t>
            </w:r>
          </w:p>
        </w:tc>
        <w:tc>
          <w:tcPr>
            <w:tcW w:w="2216" w:type="dxa"/>
            <w:noWrap w:val="0"/>
            <w:vAlign w:val="center"/>
          </w:tcPr>
          <w:p>
            <w:pPr>
              <w:jc w:val="center"/>
              <w:rPr>
                <w:rFonts w:ascii="仿宋_GB2312" w:hAnsi="仿宋_GB2312" w:eastAsia="仿宋_GB2312" w:cs="仿宋_GB2312"/>
              </w:rPr>
            </w:pPr>
            <w:r>
              <w:rPr>
                <w:rFonts w:ascii="仿宋_GB2312" w:hAnsi="仿宋_GB2312" w:eastAsia="仿宋_GB2312" w:cs="仿宋_GB2312"/>
              </w:rPr>
              <w:t>CJ 50-2008 6.7.6</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ascii="仿宋_GB2312" w:hAnsi="仿宋_GB2312" w:eastAsia="仿宋_GB2312"/>
              </w:rPr>
            </w:pPr>
            <w:r>
              <w:rPr>
                <w:rFonts w:ascii="仿宋_GB2312" w:hAnsi="仿宋_GB2312" w:eastAsia="仿宋_GB2312" w:cs="仿宋_GB2312"/>
              </w:rPr>
              <w:t>CJ 50-2008 7.7.6</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bl>
    <w:p>
      <w:pPr>
        <w:snapToGrid w:val="0"/>
        <w:spacing w:line="360" w:lineRule="auto"/>
        <w:ind w:firstLine="562"/>
        <w:rPr>
          <w:rFonts w:ascii="仿宋_GB2312" w:hAnsi="仿宋_GB2312" w:eastAsia="仿宋_GB2312"/>
          <w:b/>
          <w:bCs/>
          <w:kern w:val="0"/>
          <w:sz w:val="28"/>
          <w:szCs w:val="28"/>
        </w:rPr>
      </w:pPr>
    </w:p>
    <w:p>
      <w:pPr>
        <w:snapToGrid w:val="0"/>
        <w:spacing w:line="360" w:lineRule="auto"/>
        <w:jc w:val="center"/>
        <w:rPr>
          <w:rFonts w:hint="eastAsia" w:ascii="黑体" w:hAnsi="黑体" w:eastAsia="黑体" w:cs="黑体"/>
          <w:sz w:val="24"/>
        </w:rPr>
      </w:pPr>
      <w:r>
        <w:rPr>
          <w:rFonts w:hint="eastAsia" w:ascii="黑体" w:hAnsi="黑体" w:eastAsia="黑体" w:cs="黑体"/>
          <w:sz w:val="24"/>
        </w:rPr>
        <w:t>表3检验项目（适用于2019年3月1日后生产的瓶装液化石油气调压器）</w:t>
      </w:r>
    </w:p>
    <w:tbl>
      <w:tblPr>
        <w:tblStyle w:val="2"/>
        <w:tblW w:w="101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2705"/>
        <w:gridCol w:w="2216"/>
        <w:gridCol w:w="1274"/>
        <w:gridCol w:w="2441"/>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tblHeader/>
          <w:jc w:val="center"/>
        </w:trPr>
        <w:tc>
          <w:tcPr>
            <w:tcW w:w="676"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序号</w:t>
            </w:r>
          </w:p>
        </w:tc>
        <w:tc>
          <w:tcPr>
            <w:tcW w:w="2705"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检验项目</w:t>
            </w:r>
          </w:p>
        </w:tc>
        <w:tc>
          <w:tcPr>
            <w:tcW w:w="2216"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依据法律法规或标准条款</w:t>
            </w:r>
          </w:p>
        </w:tc>
        <w:tc>
          <w:tcPr>
            <w:tcW w:w="1274"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项目性质</w:t>
            </w:r>
          </w:p>
        </w:tc>
        <w:tc>
          <w:tcPr>
            <w:tcW w:w="2441"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检测方法</w:t>
            </w:r>
          </w:p>
        </w:tc>
        <w:tc>
          <w:tcPr>
            <w:tcW w:w="788" w:type="dxa"/>
            <w:noWrap w:val="0"/>
            <w:vAlign w:val="center"/>
          </w:tcPr>
          <w:p>
            <w:pPr>
              <w:snapToGrid w:val="0"/>
              <w:spacing w:before="78" w:after="78"/>
              <w:jc w:val="center"/>
              <w:rPr>
                <w:rFonts w:ascii="黑体" w:hAnsi="黑体" w:eastAsia="黑体"/>
                <w:sz w:val="24"/>
              </w:rPr>
            </w:pPr>
            <w:r>
              <w:rPr>
                <w:rFonts w:hint="eastAsia" w:ascii="黑体" w:hAnsi="黑体" w:eastAsia="黑体" w:cs="黑体"/>
                <w:sz w:val="24"/>
              </w:rPr>
              <w:t>复检样品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1</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橡胶件耐液化石油气性能</w:t>
            </w:r>
          </w:p>
        </w:tc>
        <w:tc>
          <w:tcPr>
            <w:tcW w:w="2216"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5.1.3.</w:t>
            </w:r>
            <w:r>
              <w:rPr>
                <w:rFonts w:hint="eastAsia" w:ascii="仿宋_GB2312" w:hAnsi="仿宋_GB2312" w:eastAsia="仿宋_GB2312" w:cs="仿宋_GB2312"/>
              </w:rPr>
              <w:t>2</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hint="eastAsia" w:ascii="仿宋_GB2312" w:hAnsi="仿宋_GB2312" w:eastAsia="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6.10.1</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2</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塑料件耐液化石油气性能</w:t>
            </w:r>
          </w:p>
        </w:tc>
        <w:tc>
          <w:tcPr>
            <w:tcW w:w="2216"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5.1.3.3</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hint="eastAsia" w:ascii="仿宋_GB2312" w:hAnsi="仿宋_GB2312" w:eastAsia="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6.10.2</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3</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结构</w:t>
            </w:r>
          </w:p>
        </w:tc>
        <w:tc>
          <w:tcPr>
            <w:tcW w:w="2216" w:type="dxa"/>
            <w:noWrap w:val="0"/>
            <w:vAlign w:val="center"/>
          </w:tcPr>
          <w:p>
            <w:pPr>
              <w:jc w:val="center"/>
              <w:rPr>
                <w:rFonts w:ascii="仿宋_GB2312" w:hAnsi="仿宋_GB2312" w:eastAsia="仿宋_GB2312" w:cs="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5.2</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hint="eastAsia" w:ascii="仿宋_GB2312" w:hAnsi="仿宋_GB2312" w:eastAsia="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6.11</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4</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气密性</w:t>
            </w:r>
          </w:p>
        </w:tc>
        <w:tc>
          <w:tcPr>
            <w:tcW w:w="2216"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5.3.3</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hint="eastAsia" w:ascii="仿宋_GB2312" w:hAnsi="仿宋_GB2312" w:eastAsia="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6.3</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5</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关闭压力</w:t>
            </w:r>
          </w:p>
        </w:tc>
        <w:tc>
          <w:tcPr>
            <w:tcW w:w="2216"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5.3.4</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hint="eastAsia" w:ascii="仿宋_GB2312" w:hAnsi="仿宋_GB2312" w:eastAsia="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6.4</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6</w:t>
            </w:r>
          </w:p>
        </w:tc>
        <w:tc>
          <w:tcPr>
            <w:tcW w:w="2705" w:type="dxa"/>
            <w:noWrap w:val="0"/>
            <w:vAlign w:val="center"/>
          </w:tcPr>
          <w:p>
            <w:pPr>
              <w:rPr>
                <w:rFonts w:ascii="仿宋_GB2312" w:hAnsi="仿宋_GB2312" w:eastAsia="仿宋_GB2312"/>
              </w:rPr>
            </w:pPr>
            <w:r>
              <w:rPr>
                <w:rFonts w:hint="eastAsia" w:ascii="仿宋_GB2312" w:hAnsi="仿宋_GB2312" w:eastAsia="仿宋_GB2312" w:cs="仿宋_GB2312"/>
              </w:rPr>
              <w:t>出口压力</w:t>
            </w:r>
          </w:p>
        </w:tc>
        <w:tc>
          <w:tcPr>
            <w:tcW w:w="2216"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5.3.5</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hint="eastAsia" w:ascii="仿宋_GB2312" w:hAnsi="仿宋_GB2312" w:eastAsia="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6.5</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原样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8" w:hRule="atLeast"/>
          <w:jc w:val="center"/>
        </w:trPr>
        <w:tc>
          <w:tcPr>
            <w:tcW w:w="676" w:type="dxa"/>
            <w:noWrap w:val="0"/>
            <w:vAlign w:val="center"/>
          </w:tcPr>
          <w:p>
            <w:pPr>
              <w:snapToGrid w:val="0"/>
              <w:spacing w:before="78" w:after="78"/>
              <w:jc w:val="center"/>
              <w:rPr>
                <w:rFonts w:ascii="仿宋_GB2312" w:hAnsi="仿宋_GB2312" w:eastAsia="仿宋_GB2312" w:cs="仿宋_GB2312"/>
              </w:rPr>
            </w:pPr>
            <w:r>
              <w:rPr>
                <w:rFonts w:ascii="仿宋_GB2312" w:hAnsi="仿宋_GB2312" w:eastAsia="仿宋_GB2312" w:cs="仿宋_GB2312"/>
              </w:rPr>
              <w:t>7</w:t>
            </w:r>
          </w:p>
        </w:tc>
        <w:tc>
          <w:tcPr>
            <w:tcW w:w="2705" w:type="dxa"/>
            <w:noWrap w:val="0"/>
            <w:vAlign w:val="center"/>
          </w:tcPr>
          <w:p>
            <w:pPr>
              <w:rPr>
                <w:rFonts w:hint="eastAsia" w:ascii="仿宋_GB2312" w:hAnsi="仿宋_GB2312" w:eastAsia="仿宋_GB2312"/>
              </w:rPr>
            </w:pPr>
            <w:r>
              <w:rPr>
                <w:rFonts w:hint="eastAsia" w:ascii="仿宋_GB2312" w:hAnsi="仿宋_GB2312" w:eastAsia="仿宋_GB2312"/>
              </w:rPr>
              <w:t>机械强度</w:t>
            </w:r>
          </w:p>
        </w:tc>
        <w:tc>
          <w:tcPr>
            <w:tcW w:w="2216"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5.3.7</w:t>
            </w:r>
          </w:p>
        </w:tc>
        <w:tc>
          <w:tcPr>
            <w:tcW w:w="1274"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强制性</w:t>
            </w:r>
          </w:p>
        </w:tc>
        <w:tc>
          <w:tcPr>
            <w:tcW w:w="2441" w:type="dxa"/>
            <w:noWrap w:val="0"/>
            <w:vAlign w:val="center"/>
          </w:tcPr>
          <w:p>
            <w:pPr>
              <w:snapToGrid w:val="0"/>
              <w:spacing w:before="78" w:after="78"/>
              <w:jc w:val="center"/>
              <w:rPr>
                <w:rFonts w:hint="eastAsia" w:ascii="仿宋_GB2312" w:hAnsi="仿宋_GB2312" w:eastAsia="仿宋_GB2312"/>
              </w:rPr>
            </w:pPr>
            <w:r>
              <w:rPr>
                <w:rFonts w:hint="eastAsia" w:ascii="仿宋_GB2312" w:hAnsi="仿宋_GB2312" w:eastAsia="仿宋_GB2312" w:cs="仿宋_GB2312"/>
              </w:rPr>
              <w:t>GB 35844-2018</w:t>
            </w:r>
            <w:r>
              <w:rPr>
                <w:rFonts w:ascii="仿宋_GB2312" w:hAnsi="仿宋_GB2312" w:eastAsia="仿宋_GB2312" w:cs="仿宋_GB2312"/>
              </w:rPr>
              <w:t xml:space="preserve"> </w:t>
            </w:r>
            <w:r>
              <w:rPr>
                <w:rFonts w:hint="eastAsia" w:ascii="仿宋_GB2312" w:hAnsi="仿宋_GB2312" w:eastAsia="仿宋_GB2312" w:cs="仿宋_GB2312"/>
              </w:rPr>
              <w:t>6.7</w:t>
            </w:r>
          </w:p>
        </w:tc>
        <w:tc>
          <w:tcPr>
            <w:tcW w:w="788" w:type="dxa"/>
            <w:noWrap w:val="0"/>
            <w:vAlign w:val="center"/>
          </w:tcPr>
          <w:p>
            <w:pPr>
              <w:snapToGrid w:val="0"/>
              <w:spacing w:before="78" w:after="78"/>
              <w:jc w:val="center"/>
              <w:rPr>
                <w:rFonts w:ascii="仿宋_GB2312" w:hAnsi="仿宋_GB2312" w:eastAsia="仿宋_GB2312"/>
              </w:rPr>
            </w:pPr>
            <w:r>
              <w:rPr>
                <w:rFonts w:hint="eastAsia" w:ascii="仿宋_GB2312" w:hAnsi="仿宋_GB2312" w:eastAsia="仿宋_GB2312" w:cs="仿宋_GB2312"/>
              </w:rPr>
              <w:t>备样</w:t>
            </w:r>
          </w:p>
        </w:tc>
      </w:tr>
    </w:tbl>
    <w:p>
      <w:pPr>
        <w:snapToGrid w:val="0"/>
        <w:spacing w:line="360" w:lineRule="auto"/>
        <w:ind w:firstLine="562"/>
        <w:rPr>
          <w:rFonts w:ascii="仿宋_GB2312" w:hAnsi="仿宋_GB2312" w:eastAsia="仿宋_GB2312"/>
          <w:b/>
          <w:bCs/>
          <w:kern w:val="0"/>
          <w:sz w:val="28"/>
          <w:szCs w:val="28"/>
        </w:rPr>
      </w:pPr>
    </w:p>
    <w:p>
      <w:pPr>
        <w:snapToGrid w:val="0"/>
        <w:spacing w:line="360" w:lineRule="auto"/>
        <w:rPr>
          <w:rFonts w:ascii="仿宋_GB2312" w:hAnsi="仿宋_GB2312" w:eastAsia="仿宋_GB2312"/>
          <w:b/>
          <w:bCs/>
          <w:kern w:val="0"/>
          <w:sz w:val="28"/>
          <w:szCs w:val="28"/>
        </w:rPr>
      </w:pPr>
      <w:r>
        <w:rPr>
          <w:rFonts w:ascii="仿宋_GB2312" w:hAnsi="仿宋_GB2312" w:eastAsia="仿宋_GB2312" w:cs="仿宋_GB2312"/>
          <w:b/>
          <w:bCs/>
          <w:kern w:val="0"/>
          <w:sz w:val="28"/>
          <w:szCs w:val="28"/>
        </w:rPr>
        <w:t xml:space="preserve">6.2 </w:t>
      </w:r>
      <w:r>
        <w:rPr>
          <w:rFonts w:hint="eastAsia" w:ascii="仿宋_GB2312" w:hAnsi="仿宋_GB2312" w:eastAsia="仿宋_GB2312" w:cs="仿宋_GB2312"/>
          <w:b/>
          <w:bCs/>
          <w:kern w:val="0"/>
          <w:sz w:val="28"/>
          <w:szCs w:val="28"/>
        </w:rPr>
        <w:t>检验应注意的问题</w:t>
      </w:r>
    </w:p>
    <w:p>
      <w:pPr>
        <w:snapToGrid w:val="0"/>
        <w:spacing w:line="360" w:lineRule="auto"/>
        <w:rPr>
          <w:rFonts w:ascii="仿宋_GB2312" w:hAnsi="仿宋_GB2312" w:eastAsia="仿宋_GB2312"/>
          <w:kern w:val="0"/>
          <w:sz w:val="28"/>
          <w:szCs w:val="28"/>
        </w:rPr>
      </w:pPr>
      <w:r>
        <w:rPr>
          <w:rFonts w:ascii="仿宋_GB2312" w:hAnsi="仿宋_GB2312" w:eastAsia="仿宋_GB2312" w:cs="仿宋_GB2312"/>
          <w:b/>
          <w:bCs/>
          <w:kern w:val="0"/>
          <w:sz w:val="28"/>
          <w:szCs w:val="28"/>
        </w:rPr>
        <w:t>6.2.1</w:t>
      </w:r>
      <w:r>
        <w:rPr>
          <w:rFonts w:hint="eastAsia" w:ascii="仿宋_GB2312" w:hAnsi="仿宋_GB2312" w:eastAsia="仿宋_GB2312" w:cs="仿宋_GB2312"/>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napToGrid w:val="0"/>
        <w:spacing w:line="360" w:lineRule="auto"/>
        <w:rPr>
          <w:rFonts w:ascii="仿宋_GB2312" w:hAnsi="仿宋_GB2312" w:eastAsia="仿宋_GB2312"/>
          <w:kern w:val="0"/>
          <w:sz w:val="28"/>
          <w:szCs w:val="28"/>
        </w:rPr>
      </w:pPr>
      <w:r>
        <w:rPr>
          <w:rFonts w:ascii="仿宋_GB2312" w:hAnsi="仿宋_GB2312" w:eastAsia="仿宋_GB2312" w:cs="仿宋_GB2312"/>
          <w:b/>
          <w:bCs/>
          <w:kern w:val="0"/>
          <w:sz w:val="28"/>
          <w:szCs w:val="28"/>
        </w:rPr>
        <w:t>6.2.2</w:t>
      </w:r>
      <w:r>
        <w:rPr>
          <w:rFonts w:hint="eastAsia" w:ascii="仿宋_GB2312" w:hAnsi="仿宋_GB2312" w:eastAsia="仿宋_GB2312" w:cs="仿宋_GB2312"/>
          <w:kern w:val="0"/>
          <w:sz w:val="28"/>
          <w:szCs w:val="28"/>
        </w:rPr>
        <w:t>若被检产品明示的质量要求高于本规范中检验项目依据的强制性标准要求时，应按被检产品明示的质量要求判定；若被检产品明示的质量要求低于或者缺少本规范中检验项目依据的强制性标准要求时，应按强制性标准要求判定。</w:t>
      </w:r>
    </w:p>
    <w:p>
      <w:pPr>
        <w:snapToGrid w:val="0"/>
        <w:spacing w:line="360" w:lineRule="auto"/>
        <w:rPr>
          <w:rFonts w:ascii="仿宋_GB2312" w:hAnsi="仿宋_GB2312" w:eastAsia="仿宋_GB2312"/>
          <w:b/>
          <w:bCs/>
          <w:kern w:val="0"/>
          <w:sz w:val="28"/>
          <w:szCs w:val="28"/>
        </w:rPr>
      </w:pPr>
      <w:r>
        <w:rPr>
          <w:rFonts w:ascii="仿宋_GB2312" w:hAnsi="仿宋_GB2312" w:eastAsia="仿宋_GB2312" w:cs="仿宋_GB2312"/>
          <w:b/>
          <w:bCs/>
          <w:kern w:val="0"/>
          <w:sz w:val="28"/>
          <w:szCs w:val="28"/>
        </w:rPr>
        <w:t xml:space="preserve">7 </w:t>
      </w:r>
      <w:r>
        <w:rPr>
          <w:rFonts w:hint="eastAsia" w:ascii="仿宋_GB2312" w:hAnsi="仿宋_GB2312" w:eastAsia="仿宋_GB2312" w:cs="仿宋_GB2312"/>
          <w:b/>
          <w:bCs/>
          <w:kern w:val="0"/>
          <w:sz w:val="28"/>
          <w:szCs w:val="28"/>
        </w:rPr>
        <w:t>判定原则</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经检验，检验项目全部合格，判定样品合格；检验项目中任一项及一项以上不合格判定样品不合格。</w:t>
      </w:r>
    </w:p>
    <w:p>
      <w:pPr>
        <w:snapToGrid w:val="0"/>
        <w:spacing w:line="360" w:lineRule="auto"/>
        <w:rPr>
          <w:rFonts w:ascii="楷体_GB2312" w:hAnsi="楷体_GB2312" w:eastAsia="楷体_GB2312"/>
          <w:b/>
          <w:bCs/>
          <w:kern w:val="0"/>
          <w:sz w:val="28"/>
          <w:szCs w:val="28"/>
        </w:rPr>
      </w:pPr>
      <w:r>
        <w:rPr>
          <w:rFonts w:ascii="楷体_GB2312" w:hAnsi="楷体_GB2312" w:eastAsia="楷体_GB2312" w:cs="楷体_GB2312"/>
          <w:b/>
          <w:bCs/>
          <w:kern w:val="0"/>
          <w:sz w:val="28"/>
          <w:szCs w:val="28"/>
        </w:rPr>
        <w:t>8.</w:t>
      </w:r>
      <w:r>
        <w:rPr>
          <w:rFonts w:hint="eastAsia" w:ascii="楷体_GB2312" w:hAnsi="楷体_GB2312" w:eastAsia="楷体_GB2312" w:cs="楷体_GB2312"/>
          <w:b/>
          <w:bCs/>
          <w:kern w:val="0"/>
          <w:sz w:val="28"/>
          <w:szCs w:val="28"/>
        </w:rPr>
        <w:t>异议处理复检</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8.1 </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8.2 </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8.3 </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b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若复检机构与初检机构为同一家机构，则复验检验人员与初检检验人员不得为同一人（含审核人员）。</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8.5 </w:t>
      </w:r>
      <w:r>
        <w:rPr>
          <w:rFonts w:hint="eastAsia" w:ascii="仿宋_GB2312" w:eastAsia="仿宋_GB2312" w:cs="Sim Sun"/>
          <w:kern w:val="0"/>
          <w:sz w:val="28"/>
          <w:szCs w:val="28"/>
        </w:rPr>
        <w:t>需对不合格项目复检时，按6.1选择复检样品。</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8.6 </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snapToGrid w:val="0"/>
        <w:spacing w:line="360" w:lineRule="auto"/>
        <w:rPr>
          <w:rFonts w:ascii="仿宋_GB2312" w:hAnsi="仿宋_GB2312" w:eastAsia="仿宋_GB2312"/>
          <w:b/>
          <w:bCs/>
          <w:sz w:val="28"/>
          <w:szCs w:val="28"/>
        </w:rPr>
      </w:pPr>
      <w:r>
        <w:rPr>
          <w:rFonts w:ascii="仿宋_GB2312" w:hAnsi="仿宋_GB2312" w:eastAsia="仿宋_GB2312" w:cs="仿宋_GB2312"/>
          <w:b/>
          <w:bCs/>
          <w:sz w:val="28"/>
          <w:szCs w:val="28"/>
        </w:rPr>
        <w:t xml:space="preserve">9 </w:t>
      </w:r>
      <w:r>
        <w:rPr>
          <w:rFonts w:hint="eastAsia" w:ascii="仿宋_GB2312" w:hAnsi="仿宋_GB2312" w:eastAsia="仿宋_GB2312" w:cs="仿宋_GB2312"/>
          <w:b/>
          <w:bCs/>
          <w:sz w:val="28"/>
          <w:szCs w:val="28"/>
        </w:rPr>
        <w:t>附则</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本规范编制单位：</w:t>
      </w:r>
      <w:r>
        <w:rPr>
          <w:rFonts w:hint="eastAsia" w:ascii="仿宋_GB2312" w:hAnsi="仿宋_GB2312" w:eastAsia="仿宋_GB2312" w:cs="仿宋_GB2312"/>
          <w:kern w:val="0"/>
          <w:sz w:val="28"/>
          <w:szCs w:val="28"/>
        </w:rPr>
        <w:t>佛山市质量计量监督检测中心</w:t>
      </w:r>
      <w:r>
        <w:rPr>
          <w:rFonts w:hint="eastAsia" w:ascii="仿宋_GB2312" w:hAnsi="仿宋_GB2312" w:eastAsia="仿宋_GB2312" w:cs="仿宋_GB2312"/>
          <w:sz w:val="28"/>
          <w:szCs w:val="28"/>
        </w:rPr>
        <w:t>。</w:t>
      </w:r>
    </w:p>
    <w:p>
      <w:pPr>
        <w:snapToGrid w:val="0"/>
        <w:spacing w:line="360" w:lineRule="auto"/>
        <w:ind w:firstLine="560"/>
        <w:rPr>
          <w:rFonts w:ascii="仿宋_GB2312" w:hAnsi="仿宋_GB2312" w:eastAsia="仿宋_GB2312"/>
          <w:sz w:val="28"/>
          <w:szCs w:val="28"/>
        </w:rPr>
      </w:pPr>
      <w:r>
        <w:rPr>
          <w:rFonts w:hint="eastAsia" w:ascii="仿宋_GB2312" w:hAnsi="仿宋_GB2312" w:eastAsia="仿宋_GB2312" w:cs="仿宋_GB2312"/>
          <w:sz w:val="28"/>
          <w:szCs w:val="28"/>
        </w:rPr>
        <w:t>本规范由深圳市市场监督管理局质量处管理。</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E6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2020-07-01T07:23:34Z</dcterms:created>
  <dc:creator>changmy</dc:creator>
  <cp:lastModifiedBy>常孟园</cp:lastModifiedBy>
  <dcterms:modified xsi:type="dcterms:W3CDTF">2020-07-01T07:23:40Z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