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eastAsia="宋体"/>
        </w:rPr>
      </w:pPr>
      <w:r>
        <w:rPr>
          <w:rFonts w:hint="eastAsia"/>
        </w:rPr>
        <w:t>附件7</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通信设备产品质量监督抽查实施规范</w:t>
      </w:r>
    </w:p>
    <w:p>
      <w:pPr>
        <w:spacing w:before="240"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186</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通信设备产品质量监督抽查。监督抽查产品范围适用于：被设计成对数据和电信消息进行录入、存储、显示、检索、传递、处理、交换或控制（或几种功能的组合），可以配置一个或多个通常用于信息传递的终端端口；例如：</w:t>
      </w:r>
      <w:r>
        <w:rPr>
          <w:rFonts w:hint="eastAsia" w:ascii="仿宋_GB2312" w:hAnsi="宋体" w:eastAsia="仿宋_GB2312" w:cs="仿宋_GB2312"/>
          <w:sz w:val="28"/>
          <w:szCs w:val="28"/>
        </w:rPr>
        <w:t>移动用户终端（手机）、网络连接设备、卫星导航设备</w:t>
      </w:r>
      <w:r>
        <w:rPr>
          <w:rFonts w:hint="eastAsia" w:ascii="仿宋_GB2312" w:hAnsi="宋体" w:eastAsia="仿宋_GB2312"/>
          <w:sz w:val="28"/>
          <w:szCs w:val="28"/>
        </w:rPr>
        <w:t>。</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24"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46"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移动用户终端（手机）</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highlight w:val="yellow"/>
              </w:rPr>
            </w:pPr>
            <w:r>
              <w:rPr>
                <w:rFonts w:ascii="仿宋_GB2312" w:hAnsi="仿宋" w:eastAsia="仿宋_GB2312" w:cs="仿宋_GB2312"/>
                <w:sz w:val="24"/>
              </w:rPr>
              <w:t>CDMA 1X</w:t>
            </w:r>
            <w:r>
              <w:rPr>
                <w:rFonts w:hint="eastAsia" w:ascii="仿宋_GB2312" w:hAnsi="仿宋" w:eastAsia="仿宋_GB2312" w:cs="仿宋_GB2312"/>
                <w:sz w:val="24"/>
              </w:rPr>
              <w:t>手机、</w:t>
            </w:r>
            <w:r>
              <w:rPr>
                <w:rFonts w:ascii="仿宋_GB2312" w:hAnsi="仿宋" w:eastAsia="仿宋_GB2312" w:cs="仿宋_GB2312"/>
                <w:sz w:val="24"/>
              </w:rPr>
              <w:t>CDMA2000</w:t>
            </w:r>
            <w:r>
              <w:rPr>
                <w:rFonts w:hint="eastAsia" w:ascii="仿宋_GB2312" w:hAnsi="仿宋" w:eastAsia="仿宋_GB2312" w:cs="仿宋_GB2312"/>
                <w:sz w:val="24"/>
              </w:rPr>
              <w:t>手机、</w:t>
            </w:r>
            <w:r>
              <w:rPr>
                <w:rFonts w:ascii="仿宋_GB2312" w:hAnsi="仿宋" w:eastAsia="仿宋_GB2312" w:cs="仿宋_GB2312"/>
                <w:sz w:val="24"/>
              </w:rPr>
              <w:t>GSM</w:t>
            </w:r>
            <w:r>
              <w:rPr>
                <w:rFonts w:hint="eastAsia" w:ascii="仿宋_GB2312" w:hAnsi="仿宋" w:eastAsia="仿宋_GB2312" w:cs="仿宋_GB2312"/>
                <w:sz w:val="24"/>
              </w:rPr>
              <w:t>手机、</w:t>
            </w:r>
            <w:r>
              <w:rPr>
                <w:rFonts w:ascii="仿宋_GB2312" w:hAnsi="仿宋" w:eastAsia="仿宋_GB2312" w:cs="仿宋_GB2312"/>
                <w:sz w:val="24"/>
              </w:rPr>
              <w:t>WCDMA</w:t>
            </w:r>
            <w:r>
              <w:rPr>
                <w:rFonts w:hint="eastAsia" w:ascii="仿宋_GB2312" w:hAnsi="仿宋" w:eastAsia="仿宋_GB2312" w:cs="仿宋_GB2312"/>
                <w:sz w:val="24"/>
              </w:rPr>
              <w:t>手机、</w:t>
            </w:r>
            <w:r>
              <w:rPr>
                <w:rFonts w:ascii="仿宋_GB2312" w:hAnsi="仿宋" w:eastAsia="仿宋_GB2312" w:cs="仿宋_GB2312"/>
                <w:sz w:val="24"/>
              </w:rPr>
              <w:t>TD-SCDMA</w:t>
            </w:r>
            <w:r>
              <w:rPr>
                <w:rFonts w:hint="eastAsia" w:ascii="仿宋_GB2312" w:hAnsi="仿宋" w:eastAsia="仿宋_GB2312" w:cs="仿宋_GB2312"/>
                <w:sz w:val="24"/>
              </w:rPr>
              <w:t>手机、</w:t>
            </w:r>
            <w:r>
              <w:rPr>
                <w:rFonts w:ascii="仿宋_GB2312" w:hAnsi="仿宋" w:eastAsia="仿宋_GB2312" w:cs="仿宋_GB2312"/>
                <w:sz w:val="24"/>
              </w:rPr>
              <w:t>LTE</w:t>
            </w:r>
            <w:r>
              <w:rPr>
                <w:rFonts w:hint="eastAsia" w:ascii="仿宋_GB2312" w:hAnsi="仿宋" w:eastAsia="仿宋_GB2312" w:cs="仿宋_GB2312"/>
                <w:sz w:val="24"/>
              </w:rPr>
              <w:t>手机，以及包含以上制式的多模手机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网络连接设备</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路由器、交换机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卫星导航设备</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导航仪、汽车行驶记录仪</w:t>
            </w:r>
          </w:p>
        </w:tc>
      </w:tr>
    </w:tbl>
    <w:p>
      <w:pPr>
        <w:snapToGrid w:val="0"/>
        <w:spacing w:before="160" w:beforeLines="50"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3"/>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移动用户终端（手机）</w:t>
            </w: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hAnsi="仿宋" w:eastAsia="仿宋_GB2312" w:cs="仿宋_GB2312"/>
                <w:sz w:val="24"/>
              </w:rPr>
              <w:t>在为社会公众服务的公共移动通信网络中使用，实现通信功能的各类制式的蜂窝移动电话。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restart"/>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网络连接设备</w:t>
            </w:r>
          </w:p>
        </w:tc>
        <w:tc>
          <w:tcPr>
            <w:tcW w:w="644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eastAsia="仿宋_GB2312" w:cs="宋体"/>
                <w:kern w:val="0"/>
                <w:sz w:val="24"/>
                <w:szCs w:val="21"/>
              </w:rPr>
              <w:t>路由器：</w:t>
            </w:r>
            <w:r>
              <w:rPr>
                <w:rFonts w:hint="eastAsia" w:ascii="仿宋_GB2312" w:hAnsi="宋体" w:eastAsia="仿宋_GB2312"/>
                <w:sz w:val="24"/>
              </w:rPr>
              <w:t>工作在IP层，通过转发数据包来实现网络互连的设备。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continue"/>
            <w:noWrap w:val="0"/>
            <w:vAlign w:val="center"/>
          </w:tcPr>
          <w:p>
            <w:pPr>
              <w:autoSpaceDE w:val="0"/>
              <w:autoSpaceDN w:val="0"/>
              <w:adjustRightInd w:val="0"/>
              <w:jc w:val="center"/>
              <w:rPr>
                <w:rFonts w:ascii="仿宋_GB2312" w:hAnsi="宋体" w:eastAsia="仿宋_GB2312"/>
                <w:sz w:val="24"/>
                <w:szCs w:val="21"/>
              </w:rPr>
            </w:pP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hAnsi="宋体" w:eastAsia="仿宋_GB2312"/>
                <w:sz w:val="24"/>
              </w:rPr>
              <w:t>交换机：是一种用于电信号转发的网络设备。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restart"/>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卫星导航设备</w:t>
            </w: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导航仪：多用于汽车上，能实现准确定位、导航和娱乐等功能集于一身的导航仪器。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continue"/>
            <w:noWrap w:val="0"/>
            <w:vAlign w:val="center"/>
          </w:tcPr>
          <w:p>
            <w:pPr>
              <w:autoSpaceDE w:val="0"/>
              <w:autoSpaceDN w:val="0"/>
              <w:adjustRightInd w:val="0"/>
              <w:jc w:val="center"/>
              <w:rPr>
                <w:rFonts w:ascii="仿宋_GB2312" w:hAnsi="宋体" w:eastAsia="仿宋_GB2312"/>
                <w:sz w:val="24"/>
                <w:szCs w:val="21"/>
              </w:rPr>
            </w:pP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行车记录仪：</w:t>
            </w:r>
            <w:r>
              <w:rPr>
                <w:rFonts w:ascii="仿宋_GB2312" w:hAnsi="仿宋" w:eastAsia="仿宋_GB2312" w:cs="仿宋_GB2312"/>
                <w:sz w:val="24"/>
              </w:rPr>
              <w:t>是一种运动摄像类产品</w:t>
            </w:r>
            <w:r>
              <w:rPr>
                <w:rFonts w:hint="eastAsia" w:ascii="仿宋_GB2312" w:hAnsi="仿宋" w:eastAsia="仿宋_GB2312" w:cs="仿宋_GB2312"/>
                <w:sz w:val="24"/>
              </w:rPr>
              <w:t>，透过高清镜头摄影记录车辆行驶途中的声音及影像。</w:t>
            </w:r>
          </w:p>
        </w:tc>
      </w:tr>
    </w:tbl>
    <w:p>
      <w:pPr>
        <w:snapToGrid w:val="0"/>
        <w:spacing w:before="160"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4943.1-2011</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信息技术设备</w:t>
            </w:r>
            <w:r>
              <w:rPr>
                <w:rFonts w:ascii="仿宋_GB2312" w:hAnsi="仿宋" w:eastAsia="仿宋_GB2312" w:cs="仿宋_GB2312"/>
                <w:sz w:val="24"/>
              </w:rPr>
              <w:t xml:space="preserve"> </w:t>
            </w:r>
            <w:r>
              <w:rPr>
                <w:rFonts w:hint="eastAsia" w:ascii="仿宋_GB2312" w:hAnsi="仿宋" w:eastAsia="仿宋_GB2312" w:cs="仿宋_GB2312"/>
                <w:sz w:val="24"/>
              </w:rPr>
              <w:t>安全</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部分：通用要求</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w:t>
            </w:r>
            <w:r>
              <w:rPr>
                <w:rFonts w:hint="eastAsia" w:ascii="仿宋_GB2312" w:hAnsi="仿宋" w:eastAsia="仿宋_GB2312" w:cs="仿宋_GB2312"/>
                <w:sz w:val="24"/>
              </w:rPr>
              <w:t>8898</w:t>
            </w:r>
            <w:r>
              <w:rPr>
                <w:rFonts w:ascii="仿宋_GB2312" w:hAnsi="仿宋" w:eastAsia="仿宋_GB2312" w:cs="仿宋_GB2312"/>
                <w:sz w:val="24"/>
              </w:rPr>
              <w:t>-2011</w:t>
            </w:r>
          </w:p>
        </w:tc>
        <w:tc>
          <w:tcPr>
            <w:tcW w:w="4407" w:type="dxa"/>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音频、视频及类似电子设备安全要求</w:t>
            </w:r>
          </w:p>
        </w:tc>
        <w:tc>
          <w:tcPr>
            <w:tcW w:w="2786" w:type="dxa"/>
            <w:noWrap w:val="0"/>
            <w:vAlign w:val="center"/>
          </w:tcPr>
          <w:p>
            <w:pPr>
              <w:snapToGrid w:val="0"/>
              <w:jc w:val="center"/>
              <w:rPr>
                <w:rFonts w:hint="eastAsia" w:ascii="仿宋_GB2312" w:hAnsi="Wingdings 2" w:eastAsia="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w:t>
            </w:r>
            <w:r>
              <w:rPr>
                <w:rFonts w:hint="eastAsia" w:ascii="仿宋_GB2312" w:hAnsi="仿宋" w:eastAsia="仿宋_GB2312" w:cs="仿宋_GB2312"/>
                <w:sz w:val="24"/>
              </w:rPr>
              <w:t xml:space="preserve"> </w:t>
            </w:r>
            <w:r>
              <w:rPr>
                <w:rFonts w:ascii="仿宋_GB2312" w:hAnsi="仿宋" w:eastAsia="仿宋_GB2312" w:cs="仿宋_GB2312"/>
                <w:sz w:val="24"/>
              </w:rPr>
              <w:t>13837-2012</w:t>
            </w:r>
          </w:p>
        </w:tc>
        <w:tc>
          <w:tcPr>
            <w:tcW w:w="4407" w:type="dxa"/>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声音和电视广播接收机及有关设备无线电骚扰特性限值和测量方法</w:t>
            </w:r>
          </w:p>
        </w:tc>
        <w:tc>
          <w:tcPr>
            <w:tcW w:w="2786" w:type="dxa"/>
            <w:noWrap w:val="0"/>
            <w:vAlign w:val="center"/>
          </w:tcPr>
          <w:p>
            <w:pPr>
              <w:snapToGrid w:val="0"/>
              <w:jc w:val="center"/>
              <w:rPr>
                <w:rFonts w:hint="eastAsia" w:ascii="仿宋_GB2312" w:hAnsi="Wingdings 2" w:eastAsia="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9254-2008</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信息技术设备的无线电骚扰限值和测量方法</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19484.1-2013</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800MHz/2GHz cdma2000</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22450.1-2008</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 xml:space="preserve">900/1800MHz TDMA </w:t>
            </w:r>
            <w:r>
              <w:rPr>
                <w:rFonts w:hint="eastAsia" w:ascii="仿宋_GB2312" w:hAnsi="仿宋" w:eastAsia="仿宋_GB2312" w:cs="仿宋_GB2312"/>
                <w:sz w:val="24"/>
              </w:rPr>
              <w:t>数字蜂窝移动通信系统电磁兼容性限值和测量方法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部分：移动台及其辅助设备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1592.1-2012</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2GHz TD-SCDMA</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1595.1-2012</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2GHz WCDMA</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2583.14-2013</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蜂窝式移动通信设备电磁兼容性能要求和测试方法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14</w:t>
            </w:r>
            <w:r>
              <w:rPr>
                <w:rFonts w:hint="eastAsia" w:ascii="仿宋_GB2312" w:hAnsi="仿宋" w:eastAsia="仿宋_GB2312" w:cs="仿宋_GB2312"/>
                <w:sz w:val="24"/>
              </w:rPr>
              <w:t>部分</w:t>
            </w:r>
            <w:r>
              <w:rPr>
                <w:rFonts w:ascii="仿宋_GB2312" w:hAnsi="仿宋" w:eastAsia="仿宋_GB2312" w:cs="仿宋_GB2312"/>
                <w:sz w:val="24"/>
              </w:rPr>
              <w:t xml:space="preserve"> LTE</w:t>
            </w:r>
            <w:r>
              <w:rPr>
                <w:rFonts w:hint="eastAsia" w:ascii="仿宋_GB2312" w:hAnsi="仿宋" w:eastAsia="仿宋_GB2312" w:cs="仿宋_GB2312"/>
                <w:sz w:val="24"/>
              </w:rPr>
              <w:t>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21288-2007</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移动电话电磁辐射局部暴露限值</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流通领域：流通领域抽样可采取在流通领域实体店以及网络交易平台两种方式获得样品。</w:t>
      </w:r>
    </w:p>
    <w:p>
      <w:pPr>
        <w:snapToGrid w:val="0"/>
        <w:spacing w:line="540" w:lineRule="exact"/>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6.1.1 移动用户终端（手机）产品检验项目及要求</w:t>
      </w:r>
    </w:p>
    <w:tbl>
      <w:tblPr>
        <w:tblStyle w:val="3"/>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84"/>
        <w:gridCol w:w="2750"/>
        <w:gridCol w:w="1203"/>
        <w:gridCol w:w="262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序号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检验项目</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检验依据</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项目性质</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检测方法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电击和能量危险的防护</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ascii="仿宋_GB2312" w:hAnsi="仿宋" w:eastAsia="仿宋_GB2312" w:cs="仿宋_GB2312"/>
                <w:sz w:val="24"/>
              </w:rPr>
              <w:t>SELV</w:t>
            </w:r>
            <w:r>
              <w:rPr>
                <w:rFonts w:hint="eastAsia" w:ascii="仿宋_GB2312" w:hAnsi="仿宋" w:eastAsia="仿宋_GB2312" w:cs="仿宋_GB2312"/>
                <w:sz w:val="24"/>
              </w:rPr>
              <w:t>电路</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电气绝缘</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电气间隙、爬电距离和绝缘穿透距离</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布线、连接的基本要求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直插式设备</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电池</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4.3.8</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4.3.8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8</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发热要求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9</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接触电流和保护导体电流</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10</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抗电强度</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异常工作和故障件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辐射杂散骚扰</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kern w:val="0"/>
                <w:sz w:val="24"/>
              </w:rPr>
              <w:t>AC</w:t>
            </w:r>
            <w:r>
              <w:rPr>
                <w:rFonts w:hint="eastAsia" w:ascii="仿宋_GB2312" w:hAnsi="仿宋" w:eastAsia="仿宋_GB2312" w:cs="仿宋_GB2312"/>
                <w:kern w:val="0"/>
                <w:sz w:val="24"/>
              </w:rPr>
              <w:t>电源输入</w:t>
            </w:r>
            <w:r>
              <w:rPr>
                <w:rFonts w:ascii="仿宋_GB2312" w:hAnsi="仿宋" w:eastAsia="仿宋_GB2312" w:cs="仿宋_GB2312"/>
                <w:kern w:val="0"/>
                <w:sz w:val="24"/>
              </w:rPr>
              <w:t>/</w:t>
            </w:r>
            <w:r>
              <w:rPr>
                <w:rFonts w:hint="eastAsia" w:ascii="仿宋_GB2312" w:hAnsi="仿宋" w:eastAsia="仿宋_GB2312" w:cs="仿宋_GB2312"/>
                <w:kern w:val="0"/>
                <w:sz w:val="24"/>
              </w:rPr>
              <w:t>输出端口的传导骚扰</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辐射骚扰场强</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静电放电抗扰度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8.1</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8.1</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电快速瞬变脉冲群抗扰度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浪涌（冲击）抗扰度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18</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比吸收率（</w:t>
            </w:r>
            <w:r>
              <w:rPr>
                <w:rFonts w:ascii="仿宋_GB2312" w:hAnsi="仿宋" w:eastAsia="仿宋_GB2312" w:cs="仿宋_GB2312"/>
                <w:sz w:val="24"/>
              </w:rPr>
              <w:t>SAR</w:t>
            </w:r>
            <w:r>
              <w:rPr>
                <w:rFonts w:hint="eastAsia" w:ascii="仿宋_GB2312" w:hAnsi="仿宋" w:eastAsia="仿宋_GB2312" w:cs="仿宋_GB2312"/>
                <w:sz w:val="24"/>
              </w:rPr>
              <w:t>）</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21288-2007 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1644.1-2007 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7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：针对上表中序号</w:t>
            </w:r>
            <w:r>
              <w:rPr>
                <w:rFonts w:ascii="仿宋_GB2312" w:hAnsi="仿宋" w:eastAsia="仿宋_GB2312" w:cs="仿宋_GB2312"/>
                <w:sz w:val="24"/>
              </w:rPr>
              <w:t>12-17</w:t>
            </w:r>
            <w:r>
              <w:rPr>
                <w:rFonts w:hint="eastAsia" w:ascii="仿宋_GB2312" w:hAnsi="仿宋" w:eastAsia="仿宋_GB2312" w:cs="仿宋_GB2312"/>
                <w:sz w:val="24"/>
              </w:rPr>
              <w:t>检验项目的“检验依据”及“检验方法”的说明：</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）支持</w:t>
            </w:r>
            <w:r>
              <w:rPr>
                <w:rFonts w:ascii="仿宋_GB2312" w:hAnsi="仿宋" w:eastAsia="仿宋_GB2312" w:cs="仿宋_GB2312"/>
                <w:sz w:val="24"/>
              </w:rPr>
              <w:t>GSM/GPRS</w:t>
            </w:r>
            <w:r>
              <w:rPr>
                <w:rFonts w:hint="eastAsia" w:ascii="仿宋_GB2312" w:hAnsi="仿宋" w:eastAsia="仿宋_GB2312" w:cs="仿宋_GB2312"/>
                <w:sz w:val="24"/>
              </w:rPr>
              <w:t>制式的手机适用：</w:t>
            </w:r>
            <w:r>
              <w:rPr>
                <w:rFonts w:ascii="仿宋_GB2312" w:hAnsi="仿宋" w:eastAsia="仿宋_GB2312" w:cs="仿宋_GB2312"/>
                <w:sz w:val="24"/>
              </w:rPr>
              <w:t>GB/T 22450.1-2008</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）支持</w:t>
            </w:r>
            <w:r>
              <w:rPr>
                <w:rFonts w:ascii="仿宋_GB2312" w:hAnsi="仿宋" w:eastAsia="仿宋_GB2312" w:cs="仿宋_GB2312"/>
                <w:sz w:val="24"/>
              </w:rPr>
              <w:t>CDMA/cdma2000</w:t>
            </w:r>
            <w:r>
              <w:rPr>
                <w:rFonts w:hint="eastAsia" w:ascii="仿宋_GB2312" w:hAnsi="仿宋" w:eastAsia="仿宋_GB2312" w:cs="仿宋_GB2312"/>
                <w:sz w:val="24"/>
              </w:rPr>
              <w:t>制式的手机适用：</w:t>
            </w:r>
            <w:r>
              <w:rPr>
                <w:rFonts w:ascii="仿宋_GB2312" w:hAnsi="仿宋" w:eastAsia="仿宋_GB2312" w:cs="仿宋_GB2312"/>
                <w:sz w:val="24"/>
              </w:rPr>
              <w:t>GB/T 19484.1-2013</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w:t>
            </w:r>
            <w:r>
              <w:rPr>
                <w:rFonts w:hint="eastAsia" w:ascii="仿宋_GB2312" w:hAnsi="仿宋" w:eastAsia="仿宋_GB2312" w:cs="仿宋_GB2312"/>
                <w:sz w:val="24"/>
              </w:rPr>
              <w:t>）支持</w:t>
            </w:r>
            <w:r>
              <w:rPr>
                <w:rFonts w:ascii="仿宋_GB2312" w:hAnsi="仿宋" w:eastAsia="仿宋_GB2312" w:cs="仿宋_GB2312"/>
                <w:sz w:val="24"/>
              </w:rPr>
              <w:t>WCDMA</w:t>
            </w:r>
            <w:r>
              <w:rPr>
                <w:rFonts w:hint="eastAsia" w:ascii="仿宋_GB2312" w:hAnsi="仿宋" w:eastAsia="仿宋_GB2312" w:cs="仿宋_GB2312"/>
                <w:sz w:val="24"/>
              </w:rPr>
              <w:t>制式的手机适用：</w:t>
            </w:r>
            <w:r>
              <w:rPr>
                <w:rFonts w:ascii="仿宋_GB2312" w:hAnsi="仿宋" w:eastAsia="仿宋_GB2312" w:cs="仿宋_GB2312"/>
                <w:sz w:val="24"/>
              </w:rPr>
              <w:t>YD/T 1595.1-2012</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4</w:t>
            </w:r>
            <w:r>
              <w:rPr>
                <w:rFonts w:hint="eastAsia" w:ascii="仿宋_GB2312" w:hAnsi="仿宋" w:eastAsia="仿宋_GB2312" w:cs="仿宋_GB2312"/>
                <w:sz w:val="24"/>
              </w:rPr>
              <w:t>）支持</w:t>
            </w:r>
            <w:r>
              <w:rPr>
                <w:rFonts w:ascii="仿宋_GB2312" w:hAnsi="仿宋" w:eastAsia="仿宋_GB2312" w:cs="仿宋_GB2312"/>
                <w:sz w:val="24"/>
              </w:rPr>
              <w:t>TD-SCDMA</w:t>
            </w:r>
            <w:r>
              <w:rPr>
                <w:rFonts w:hint="eastAsia" w:ascii="仿宋_GB2312" w:hAnsi="仿宋" w:eastAsia="仿宋_GB2312" w:cs="仿宋_GB2312"/>
                <w:sz w:val="24"/>
              </w:rPr>
              <w:t>制式的手机适用：</w:t>
            </w:r>
            <w:r>
              <w:rPr>
                <w:rFonts w:ascii="仿宋_GB2312" w:hAnsi="仿宋" w:eastAsia="仿宋_GB2312" w:cs="仿宋_GB2312"/>
                <w:sz w:val="24"/>
              </w:rPr>
              <w:t>YD/T 1592.1-2012</w:t>
            </w:r>
          </w:p>
          <w:p>
            <w:pPr>
              <w:jc w:val="left"/>
              <w:rPr>
                <w:rFonts w:hint="eastAsia"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5</w:t>
            </w:r>
            <w:r>
              <w:rPr>
                <w:rFonts w:hint="eastAsia" w:ascii="仿宋_GB2312" w:hAnsi="仿宋" w:eastAsia="仿宋_GB2312" w:cs="仿宋_GB2312"/>
                <w:sz w:val="24"/>
              </w:rPr>
              <w:t>）支持</w:t>
            </w:r>
            <w:r>
              <w:rPr>
                <w:rFonts w:ascii="仿宋_GB2312" w:hAnsi="仿宋" w:eastAsia="仿宋_GB2312" w:cs="仿宋_GB2312"/>
                <w:sz w:val="24"/>
              </w:rPr>
              <w:t>LTE</w:t>
            </w:r>
            <w:r>
              <w:rPr>
                <w:rFonts w:hint="eastAsia" w:ascii="仿宋_GB2312" w:hAnsi="仿宋" w:eastAsia="仿宋_GB2312" w:cs="仿宋_GB2312"/>
                <w:sz w:val="24"/>
              </w:rPr>
              <w:t>制式的手机适用：</w:t>
            </w:r>
            <w:r>
              <w:rPr>
                <w:rFonts w:ascii="仿宋_GB2312" w:hAnsi="仿宋" w:eastAsia="仿宋_GB2312" w:cs="仿宋_GB2312"/>
                <w:sz w:val="24"/>
              </w:rPr>
              <w:t>YD/T 2583.14-2013</w:t>
            </w:r>
          </w:p>
          <w:p>
            <w:pPr>
              <w:jc w:val="left"/>
              <w:rPr>
                <w:rFonts w:hint="eastAsia" w:ascii="仿宋_GB2312" w:hAnsi="仿宋" w:eastAsia="仿宋_GB2312" w:cs="仿宋_GB2312"/>
                <w:sz w:val="24"/>
              </w:rPr>
            </w:pPr>
            <w:r>
              <w:rPr>
                <w:rFonts w:hint="eastAsia" w:ascii="仿宋_GB2312" w:hAnsi="仿宋" w:eastAsia="仿宋_GB2312" w:cs="仿宋_GB2312"/>
                <w:sz w:val="24"/>
              </w:rPr>
              <w:t>（6）对于覆盖多个制式的多模手机，按产品支持的任一制式进行检测。</w:t>
            </w:r>
          </w:p>
          <w:p>
            <w:pPr>
              <w:jc w:val="left"/>
              <w:rPr>
                <w:rFonts w:hint="eastAsia"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2</w:t>
            </w:r>
            <w:r>
              <w:rPr>
                <w:rFonts w:hint="eastAsia" w:ascii="仿宋_GB2312" w:hAnsi="仿宋" w:eastAsia="仿宋_GB2312" w:cs="仿宋_GB2312"/>
                <w:sz w:val="24"/>
              </w:rPr>
              <w:t>：法规要求是指《中华人民共和国认证认可条例》。</w:t>
            </w:r>
          </w:p>
        </w:tc>
      </w:tr>
    </w:tbl>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6.1.2 网络连接设备检验项目及要求</w:t>
      </w:r>
    </w:p>
    <w:tbl>
      <w:tblPr>
        <w:tblStyle w:val="3"/>
        <w:tblW w:w="1019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2184"/>
        <w:gridCol w:w="2744"/>
        <w:gridCol w:w="1203"/>
        <w:gridCol w:w="26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74"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序号</w:t>
            </w:r>
          </w:p>
        </w:tc>
        <w:tc>
          <w:tcPr>
            <w:tcW w:w="2184"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检验项目</w:t>
            </w:r>
          </w:p>
        </w:tc>
        <w:tc>
          <w:tcPr>
            <w:tcW w:w="2744"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检测依据</w:t>
            </w:r>
          </w:p>
        </w:tc>
        <w:tc>
          <w:tcPr>
            <w:tcW w:w="1203"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项目性质</w:t>
            </w:r>
          </w:p>
        </w:tc>
        <w:tc>
          <w:tcPr>
            <w:tcW w:w="2632"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检测方法</w:t>
            </w:r>
          </w:p>
        </w:tc>
        <w:tc>
          <w:tcPr>
            <w:tcW w:w="85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电源接口</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1.6</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87.5</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1.6</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2</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电击和能量危险的防护</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2.1</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2.1</w:t>
            </w:r>
          </w:p>
        </w:tc>
        <w:tc>
          <w:tcPr>
            <w:tcW w:w="854" w:type="dxa"/>
            <w:tcBorders>
              <w:top w:val="single" w:color="auto" w:sz="2"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p>
            <w:pPr>
              <w:jc w:val="center"/>
              <w:rPr>
                <w:rFonts w:ascii="仿宋_GB2312" w:hAnsi="宋体" w:eastAsia="仿宋_GB2312" w:cs="宋体"/>
                <w:color w:val="000000"/>
                <w:sz w:val="24"/>
              </w:rPr>
            </w:pPr>
            <w:r>
              <w:rPr>
                <w:rFonts w:hint="eastAsia" w:ascii="仿宋_GB2312" w:eastAsia="仿宋_GB2312"/>
                <w:color w:val="000000"/>
                <w:sz w:val="24"/>
              </w:rPr>
              <w:t>备样</w:t>
            </w:r>
            <w:r>
              <w:rPr>
                <w:rFonts w:hint="eastAsia" w:ascii="仿宋_GB2312" w:eastAsia="仿宋_GB2312"/>
                <w:color w:val="000000"/>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3</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SELV电路</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2.2</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2.2</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4</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限流电路</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2.4</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2.4</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5</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接地和连接保护措施</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2.6</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2.6</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6</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电气绝缘</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2.9</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2.9</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7</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电气间隙、爬电距离和绝缘穿透距离</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2.10 </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2.10 </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8</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布线、连接和供电</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3 </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3 </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9</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机械强度</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4.2 </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4.2 </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10</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直插式设备</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4.3.6 </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4.3.6 </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11</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发热要求</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4.5</w:t>
            </w:r>
          </w:p>
        </w:tc>
        <w:tc>
          <w:tcPr>
            <w:tcW w:w="1203"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4.5</w:t>
            </w:r>
          </w:p>
        </w:tc>
        <w:tc>
          <w:tcPr>
            <w:tcW w:w="854" w:type="dxa"/>
            <w:tcBorders>
              <w:top w:val="single" w:color="auto" w:sz="2" w:space="0"/>
            </w:tcBorders>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12</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防火</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4.7</w:t>
            </w:r>
          </w:p>
        </w:tc>
        <w:tc>
          <w:tcPr>
            <w:tcW w:w="1203"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4.7</w:t>
            </w:r>
          </w:p>
        </w:tc>
        <w:tc>
          <w:tcPr>
            <w:tcW w:w="85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13</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接触电流和保护导体电流</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5.1 </w:t>
            </w:r>
          </w:p>
        </w:tc>
        <w:tc>
          <w:tcPr>
            <w:tcW w:w="1203" w:type="dxa"/>
            <w:tcBorders>
              <w:top w:val="single" w:color="auto" w:sz="2" w:space="0"/>
            </w:tcBorders>
            <w:noWrap w:val="0"/>
            <w:vAlign w:val="center"/>
          </w:tcPr>
          <w:p>
            <w:pPr>
              <w:jc w:val="center"/>
              <w:rPr>
                <w:rFonts w:ascii="仿宋_GB2312" w:hAnsi="仿宋" w:eastAsia="仿宋_GB2312"/>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 xml:space="preserve">GB 4943.1-2011 5.1 </w:t>
            </w:r>
          </w:p>
        </w:tc>
        <w:tc>
          <w:tcPr>
            <w:tcW w:w="854" w:type="dxa"/>
            <w:tcBorders>
              <w:top w:val="single" w:color="auto" w:sz="2" w:space="0"/>
            </w:tcBorders>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14</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抗电强度</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5.2</w:t>
            </w:r>
          </w:p>
        </w:tc>
        <w:tc>
          <w:tcPr>
            <w:tcW w:w="1203" w:type="dxa"/>
            <w:tcBorders>
              <w:top w:val="single" w:color="auto" w:sz="2" w:space="0"/>
            </w:tcBorders>
            <w:noWrap w:val="0"/>
            <w:vAlign w:val="center"/>
          </w:tcPr>
          <w:p>
            <w:pPr>
              <w:jc w:val="center"/>
              <w:rPr>
                <w:rFonts w:ascii="仿宋_GB2312" w:hAnsi="仿宋" w:eastAsia="仿宋_GB2312"/>
                <w:color w:val="000000"/>
                <w:sz w:val="24"/>
              </w:rPr>
            </w:pPr>
            <w:r>
              <w:rPr>
                <w:rFonts w:hint="eastAsia" w:ascii="仿宋_GB2312"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5.2</w:t>
            </w:r>
          </w:p>
        </w:tc>
        <w:tc>
          <w:tcPr>
            <w:tcW w:w="854" w:type="dxa"/>
            <w:tcBorders>
              <w:top w:val="single" w:color="auto" w:sz="2" w:space="0"/>
            </w:tcBorders>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15</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对通信网络的维修人员和连接到通信网络的其他设备的使用人员遭受设备危险的防护</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6.1</w:t>
            </w:r>
            <w:r>
              <w:rPr>
                <w:rFonts w:ascii="仿宋_GB2312" w:hAnsi="仿宋" w:eastAsia="仿宋_GB2312"/>
                <w:color w:val="000000"/>
                <w:sz w:val="24"/>
              </w:rPr>
              <w:t xml:space="preserve"> </w:t>
            </w:r>
          </w:p>
        </w:tc>
        <w:tc>
          <w:tcPr>
            <w:tcW w:w="1203"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6.1</w:t>
            </w:r>
          </w:p>
        </w:tc>
        <w:tc>
          <w:tcPr>
            <w:tcW w:w="854" w:type="dxa"/>
            <w:tcBorders>
              <w:top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16</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对设备使用人员遭受来自通信网络上过电压的防护</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6.2</w:t>
            </w:r>
          </w:p>
        </w:tc>
        <w:tc>
          <w:tcPr>
            <w:tcW w:w="1203"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强制性</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GB 4943.1-2011 6.2</w:t>
            </w:r>
          </w:p>
        </w:tc>
        <w:tc>
          <w:tcPr>
            <w:tcW w:w="85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olor w:val="000000"/>
                <w:sz w:val="24"/>
              </w:rPr>
            </w:pPr>
            <w:r>
              <w:rPr>
                <w:rFonts w:hint="eastAsia" w:ascii="仿宋_GB2312" w:hAnsi="仿宋"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17</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cs="仿宋_GB2312"/>
                <w:sz w:val="24"/>
              </w:rPr>
              <w:t>电源端子骚扰电压</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GB/T9254-2008 5.1</w:t>
            </w:r>
          </w:p>
        </w:tc>
        <w:tc>
          <w:tcPr>
            <w:tcW w:w="1203"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1</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9</w:t>
            </w:r>
          </w:p>
        </w:tc>
        <w:tc>
          <w:tcPr>
            <w:tcW w:w="854" w:type="dxa"/>
            <w:tcBorders>
              <w:top w:val="single" w:color="auto" w:sz="2" w:space="0"/>
              <w:bottom w:val="single" w:color="auto" w:sz="2" w:space="0"/>
            </w:tcBorders>
            <w:noWrap w:val="0"/>
            <w:vAlign w:val="center"/>
          </w:tcPr>
          <w:p>
            <w:pPr>
              <w:jc w:val="cente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18</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cs="仿宋_GB2312"/>
                <w:sz w:val="24"/>
              </w:rPr>
              <w:t>辐射骚扰</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6.1</w:t>
            </w:r>
          </w:p>
        </w:tc>
        <w:tc>
          <w:tcPr>
            <w:tcW w:w="1203"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1</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10</w:t>
            </w:r>
          </w:p>
        </w:tc>
        <w:tc>
          <w:tcPr>
            <w:tcW w:w="854" w:type="dxa"/>
            <w:tcBorders>
              <w:top w:val="single" w:color="auto" w:sz="2" w:space="0"/>
              <w:bottom w:val="single" w:color="auto" w:sz="2" w:space="0"/>
            </w:tcBorders>
            <w:noWrap w:val="0"/>
            <w:vAlign w:val="center"/>
          </w:tcPr>
          <w:p>
            <w:pPr>
              <w:jc w:val="cente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0191" w:type="dxa"/>
            <w:gridSpan w:val="6"/>
            <w:tcBorders>
              <w:top w:val="single" w:color="auto" w:sz="2" w:space="0"/>
            </w:tcBorders>
            <w:noWrap w:val="0"/>
            <w:vAlign w:val="center"/>
          </w:tcPr>
          <w:p>
            <w:pPr>
              <w:wordWrap w:val="0"/>
              <w:snapToGrid w:val="0"/>
              <w:spacing w:line="320" w:lineRule="exact"/>
              <w:rPr>
                <w:rFonts w:hint="eastAsia"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：法规要求是指《中华人民共和国认证认可条例》。</w:t>
            </w:r>
          </w:p>
        </w:tc>
      </w:tr>
    </w:tbl>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6.1.3 卫星导航设备检验项目及要求</w:t>
      </w:r>
    </w:p>
    <w:tbl>
      <w:tblPr>
        <w:tblStyle w:val="3"/>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84"/>
        <w:gridCol w:w="2750"/>
        <w:gridCol w:w="1203"/>
        <w:gridCol w:w="262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序号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检验项目</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检验依据</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项目性质</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检测方法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防触电保护的结构要求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8</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正常工作条件下的电击危险</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9</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GB 8898-2011 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原样</w:t>
            </w:r>
            <w:r>
              <w:rPr>
                <w:rFonts w:ascii="仿宋_GB2312" w:hAnsi="宋体" w:eastAsia="仿宋_GB2312" w:cs="宋体"/>
                <w:sz w:val="24"/>
              </w:rPr>
              <w:t>/</w:t>
            </w:r>
          </w:p>
          <w:p>
            <w:pPr>
              <w:jc w:val="center"/>
              <w:rPr>
                <w:rFonts w:ascii="仿宋_GB2312" w:hAnsi="宋体" w:eastAsia="仿宋_GB2312" w:cs="宋体"/>
                <w:sz w:val="24"/>
              </w:rPr>
            </w:pPr>
            <w:r>
              <w:rPr>
                <w:rFonts w:hint="eastAsia" w:ascii="仿宋_GB2312" w:hAnsi="宋体" w:eastAsia="仿宋_GB2312" w:cs="宋体"/>
                <w:sz w:val="24"/>
              </w:rPr>
              <w:t>备样</w:t>
            </w:r>
            <w:r>
              <w:rPr>
                <w:rFonts w:ascii="仿宋_GB2312" w:hAnsi="宋体"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绝缘要求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10</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机械强度</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电气间隙爬电距离</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13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13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电源端子电压骚扰</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骚扰功率</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5</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7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 w:eastAsia="仿宋_GB2312" w:cs="仿宋_GB2312"/>
                <w:sz w:val="24"/>
              </w:rPr>
            </w:pPr>
            <w:r>
              <w:rPr>
                <w:rFonts w:hint="eastAsia" w:ascii="仿宋_GB2312" w:hAnsi="仿宋" w:eastAsia="仿宋_GB2312"/>
                <w:sz w:val="24"/>
              </w:rPr>
              <w:t>注</w:t>
            </w:r>
            <w:r>
              <w:rPr>
                <w:rFonts w:ascii="仿宋_GB2312" w:hAnsi="仿宋" w:eastAsia="仿宋_GB2312"/>
                <w:sz w:val="24"/>
              </w:rPr>
              <w:t>1</w:t>
            </w:r>
            <w:r>
              <w:rPr>
                <w:rFonts w:hint="eastAsia" w:ascii="仿宋_GB2312" w:hAnsi="仿宋" w:eastAsia="仿宋_GB2312"/>
                <w:sz w:val="24"/>
              </w:rPr>
              <w:t>：“正常工作条件下的电击危险”项目复检时，放电试验选择原样作为复检样品，其他试验选择备样作为复检样品。</w:t>
            </w:r>
          </w:p>
          <w:p>
            <w:pPr>
              <w:widowControl/>
              <w:rPr>
                <w:rFonts w:hint="eastAsia" w:ascii="仿宋_GB2312" w:hAnsi="仿宋" w:eastAsia="仿宋_GB2312" w:cs="仿宋_GB2312"/>
                <w:sz w:val="24"/>
              </w:rPr>
            </w:pPr>
            <w:r>
              <w:rPr>
                <w:rFonts w:hint="eastAsia" w:ascii="仿宋_GB2312" w:hAnsi="仿宋" w:eastAsia="仿宋_GB2312" w:cs="仿宋_GB2312"/>
                <w:sz w:val="24"/>
              </w:rPr>
              <w:t>注2：法规要求是指《中华人民共和国认证认可条例》。</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hint="eastAsia"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w:t>
      </w:r>
      <w:r>
        <w:rPr>
          <w:rFonts w:ascii="仿宋_GB2312" w:eastAsia="仿宋_GB2312" w:cs="Sim Sun"/>
          <w:iCs/>
          <w:kern w:val="0"/>
          <w:sz w:val="28"/>
          <w:szCs w:val="28"/>
        </w:rPr>
        <w:t>复检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若备样与原样的结构、布线、元器件等不一致时，检验结果以原检验结果为准。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、复检结果及企业提交的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F7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2020-07-01T07:05:46Z</dcterms:created>
  <dc:creator>changmy</dc:creator>
  <cp:lastModifiedBy>常孟园</cp:lastModifiedBy>
  <dcterms:modified xsi:type="dcterms:W3CDTF">2020-07-01T07:06:08Z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