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0"/>
        <w:tblW w:w="9045" w:type="dxa"/>
        <w:tblInd w:w="0" w:type="dxa"/>
        <w:tblLayout w:type="fixed"/>
        <w:tblCellMar>
          <w:top w:w="0" w:type="dxa"/>
          <w:left w:w="108" w:type="dxa"/>
          <w:bottom w:w="0" w:type="dxa"/>
          <w:right w:w="108" w:type="dxa"/>
        </w:tblCellMar>
      </w:tblPr>
      <w:tblGrid>
        <w:gridCol w:w="9045"/>
      </w:tblGrid>
      <w:tr>
        <w:tblPrEx>
          <w:tblLayout w:type="fixed"/>
          <w:tblCellMar>
            <w:top w:w="0" w:type="dxa"/>
            <w:left w:w="108" w:type="dxa"/>
            <w:bottom w:w="0" w:type="dxa"/>
            <w:right w:w="108" w:type="dxa"/>
          </w:tblCellMar>
        </w:tblPrEx>
        <w:trPr>
          <w:trHeight w:val="1440" w:hRule="atLeast"/>
        </w:trPr>
        <w:tc>
          <w:tcPr>
            <w:tcW w:w="9045" w:type="dxa"/>
            <w:vAlign w:val="center"/>
          </w:tcPr>
          <w:p>
            <w:pPr>
              <w:pStyle w:val="23"/>
              <w:spacing w:line="1400" w:lineRule="exact"/>
              <w:ind w:left="5066" w:hanging="4016"/>
              <w:jc w:val="center"/>
              <w:rPr>
                <w:rFonts w:ascii="黑体" w:hAnsi="黑体" w:eastAsia="黑体"/>
                <w:b/>
                <w:color w:val="auto"/>
                <w:sz w:val="80"/>
                <w:szCs w:val="80"/>
              </w:rPr>
            </w:pPr>
          </w:p>
          <w:p>
            <w:pPr>
              <w:pStyle w:val="23"/>
              <w:spacing w:line="100" w:lineRule="exact"/>
              <w:ind w:left="5063" w:hanging="4014"/>
              <w:jc w:val="center"/>
              <w:rPr>
                <w:rFonts w:ascii="黑体" w:hAnsi="黑体" w:eastAsia="黑体"/>
                <w:b/>
                <w:color w:val="auto"/>
                <w:sz w:val="40"/>
                <w:szCs w:val="40"/>
              </w:rPr>
            </w:pPr>
          </w:p>
          <w:p>
            <w:pPr>
              <w:pStyle w:val="23"/>
              <w:spacing w:line="240" w:lineRule="auto"/>
              <w:ind w:hanging="21"/>
              <w:jc w:val="center"/>
              <w:rPr>
                <w:rFonts w:hint="eastAsia" w:ascii="黑体" w:hAnsi="黑体" w:eastAsia="黑体"/>
                <w:b/>
                <w:color w:val="auto"/>
                <w:sz w:val="80"/>
                <w:szCs w:val="80"/>
              </w:rPr>
            </w:pPr>
            <w:r>
              <w:rPr>
                <w:rFonts w:hint="eastAsia" w:ascii="黑体" w:hAnsi="黑体" w:eastAsia="黑体"/>
                <w:b/>
                <w:color w:val="auto"/>
                <w:sz w:val="80"/>
                <w:szCs w:val="80"/>
              </w:rPr>
              <w:t>201</w:t>
            </w:r>
            <w:r>
              <w:rPr>
                <w:rFonts w:ascii="黑体" w:hAnsi="黑体" w:eastAsia="黑体"/>
                <w:b/>
                <w:color w:val="auto"/>
                <w:sz w:val="80"/>
                <w:szCs w:val="80"/>
              </w:rPr>
              <w:t>9</w:t>
            </w:r>
            <w:r>
              <w:rPr>
                <w:rFonts w:hint="eastAsia" w:ascii="黑体" w:hAnsi="黑体" w:eastAsia="黑体"/>
                <w:b/>
                <w:color w:val="auto"/>
                <w:sz w:val="80"/>
                <w:szCs w:val="80"/>
              </w:rPr>
              <w:t>年深圳市食品及</w:t>
            </w:r>
          </w:p>
          <w:p>
            <w:pPr>
              <w:pStyle w:val="23"/>
              <w:spacing w:line="240" w:lineRule="auto"/>
              <w:ind w:hanging="21"/>
              <w:jc w:val="center"/>
              <w:rPr>
                <w:rFonts w:hint="eastAsia" w:ascii="黑体" w:hAnsi="黑体" w:eastAsia="黑体"/>
                <w:b/>
                <w:color w:val="auto"/>
                <w:sz w:val="80"/>
                <w:szCs w:val="80"/>
              </w:rPr>
            </w:pPr>
            <w:r>
              <w:rPr>
                <w:rFonts w:hint="eastAsia" w:ascii="黑体" w:hAnsi="黑体" w:eastAsia="黑体"/>
                <w:b/>
                <w:color w:val="auto"/>
                <w:sz w:val="80"/>
                <w:szCs w:val="80"/>
              </w:rPr>
              <w:t>食品相关产品抽检</w:t>
            </w:r>
          </w:p>
          <w:p>
            <w:pPr>
              <w:pStyle w:val="23"/>
              <w:spacing w:line="240" w:lineRule="auto"/>
              <w:ind w:hanging="21"/>
              <w:jc w:val="center"/>
              <w:rPr>
                <w:rFonts w:hint="eastAsia" w:ascii="黑体" w:hAnsi="黑体" w:eastAsia="黑体"/>
                <w:b/>
                <w:color w:val="auto"/>
                <w:sz w:val="80"/>
                <w:szCs w:val="80"/>
                <w:lang w:eastAsia="zh-CN"/>
              </w:rPr>
            </w:pPr>
            <w:r>
              <w:rPr>
                <w:rFonts w:hint="eastAsia" w:ascii="黑体" w:hAnsi="黑体" w:eastAsia="黑体"/>
                <w:b/>
                <w:color w:val="auto"/>
                <w:sz w:val="80"/>
                <w:szCs w:val="80"/>
              </w:rPr>
              <w:t>情况白皮书</w:t>
            </w:r>
          </w:p>
          <w:p>
            <w:pPr>
              <w:pStyle w:val="23"/>
              <w:ind w:hanging="21"/>
              <w:jc w:val="center"/>
              <w:rPr>
                <w:rFonts w:ascii="黑体" w:hAnsi="黑体" w:eastAsia="黑体"/>
                <w:b/>
                <w:color w:val="auto"/>
                <w:sz w:val="80"/>
                <w:szCs w:val="80"/>
              </w:rPr>
            </w:pPr>
          </w:p>
          <w:p>
            <w:pPr>
              <w:pStyle w:val="23"/>
              <w:spacing w:line="1400" w:lineRule="exact"/>
              <w:jc w:val="center"/>
              <w:rPr>
                <w:rFonts w:ascii="楷体" w:hAnsi="楷体" w:eastAsia="楷体"/>
                <w:color w:val="auto"/>
                <w:sz w:val="80"/>
                <w:szCs w:val="80"/>
              </w:rPr>
            </w:pPr>
          </w:p>
        </w:tc>
      </w:tr>
    </w:tbl>
    <w:p>
      <w:pPr>
        <w:rPr>
          <w:rFonts w:ascii="仿宋_GB2312" w:eastAsia="仿宋_GB2312"/>
          <w:color w:val="auto"/>
          <w:sz w:val="32"/>
          <w:szCs w:val="32"/>
        </w:rPr>
      </w:pPr>
    </w:p>
    <w:p>
      <w:pPr>
        <w:tabs>
          <w:tab w:val="left" w:pos="8151"/>
        </w:tabs>
        <w:rPr>
          <w:rFonts w:ascii="仿宋_GB2312" w:eastAsia="仿宋_GB2312"/>
          <w:color w:val="auto"/>
          <w:sz w:val="32"/>
          <w:szCs w:val="32"/>
        </w:rPr>
      </w:pPr>
      <w:r>
        <w:rPr>
          <w:rFonts w:hint="eastAsia" w:ascii="仿宋_GB2312" w:eastAsia="仿宋_GB2312"/>
          <w:color w:val="auto"/>
          <w:sz w:val="32"/>
          <w:szCs w:val="32"/>
        </w:rPr>
        <w:tab/>
      </w:r>
    </w:p>
    <w:p>
      <w:pPr>
        <w:rPr>
          <w:rFonts w:ascii="仿宋_GB2312" w:eastAsia="仿宋_GB2312"/>
          <w:color w:val="auto"/>
          <w:sz w:val="32"/>
          <w:szCs w:val="32"/>
        </w:rPr>
      </w:pPr>
    </w:p>
    <w:p>
      <w:pPr>
        <w:rPr>
          <w:rFonts w:ascii="仿宋_GB2312" w:eastAsia="仿宋_GB2312"/>
          <w:color w:val="auto"/>
          <w:sz w:val="32"/>
          <w:szCs w:val="32"/>
        </w:rPr>
      </w:pPr>
    </w:p>
    <w:p>
      <w:pPr>
        <w:rPr>
          <w:rFonts w:ascii="仿宋_GB2312" w:eastAsia="仿宋_GB2312"/>
          <w:color w:val="auto"/>
          <w:sz w:val="32"/>
          <w:szCs w:val="32"/>
        </w:rPr>
      </w:pPr>
    </w:p>
    <w:p>
      <w:pPr>
        <w:rPr>
          <w:rFonts w:ascii="仿宋_GB2312" w:eastAsia="仿宋_GB2312"/>
          <w:color w:val="auto"/>
          <w:sz w:val="32"/>
          <w:szCs w:val="32"/>
        </w:rPr>
      </w:pPr>
    </w:p>
    <w:p>
      <w:pPr>
        <w:rPr>
          <w:rFonts w:ascii="仿宋_GB2312" w:eastAsia="仿宋_GB2312"/>
          <w:color w:val="auto"/>
          <w:sz w:val="32"/>
          <w:szCs w:val="32"/>
        </w:rPr>
      </w:pPr>
    </w:p>
    <w:p>
      <w:pPr>
        <w:rPr>
          <w:rFonts w:ascii="仿宋_GB2312" w:eastAsia="仿宋_GB2312"/>
          <w:color w:val="auto"/>
          <w:sz w:val="32"/>
          <w:szCs w:val="32"/>
        </w:rPr>
      </w:pPr>
    </w:p>
    <w:p>
      <w:pPr>
        <w:rPr>
          <w:rFonts w:ascii="仿宋_GB2312" w:eastAsia="仿宋_GB2312"/>
          <w:color w:val="auto"/>
          <w:sz w:val="32"/>
          <w:szCs w:val="32"/>
        </w:rPr>
      </w:pPr>
    </w:p>
    <w:p>
      <w:pPr>
        <w:rPr>
          <w:rFonts w:ascii="仿宋_GB2312" w:eastAsia="仿宋_GB2312"/>
          <w:color w:val="auto"/>
          <w:sz w:val="32"/>
          <w:szCs w:val="32"/>
        </w:rPr>
      </w:pPr>
    </w:p>
    <w:p>
      <w:pPr>
        <w:rPr>
          <w:rFonts w:ascii="仿宋_GB2312" w:eastAsia="仿宋_GB2312"/>
          <w:color w:val="auto"/>
          <w:sz w:val="28"/>
          <w:szCs w:val="28"/>
        </w:rPr>
      </w:pPr>
    </w:p>
    <w:p>
      <w:pPr>
        <w:spacing w:line="360" w:lineRule="auto"/>
        <w:jc w:val="center"/>
        <w:rPr>
          <w:rFonts w:ascii="仿宋_GB2312" w:eastAsia="仿宋_GB2312"/>
          <w:color w:val="auto"/>
          <w:sz w:val="36"/>
          <w:szCs w:val="36"/>
        </w:rPr>
      </w:pPr>
      <w:r>
        <w:rPr>
          <w:rFonts w:hint="eastAsia" w:ascii="仿宋_GB2312" w:eastAsia="仿宋_GB2312"/>
          <w:color w:val="auto"/>
          <w:sz w:val="36"/>
          <w:szCs w:val="36"/>
        </w:rPr>
        <w:t>深圳市市场监督管理局</w:t>
      </w:r>
    </w:p>
    <w:p>
      <w:pPr>
        <w:spacing w:line="360" w:lineRule="auto"/>
        <w:jc w:val="center"/>
        <w:rPr>
          <w:rFonts w:ascii="仿宋_GB2312" w:eastAsia="仿宋_GB2312"/>
          <w:color w:val="auto"/>
          <w:sz w:val="36"/>
          <w:szCs w:val="36"/>
        </w:rPr>
      </w:pPr>
      <w:r>
        <w:rPr>
          <w:rFonts w:hint="eastAsia" w:ascii="仿宋_GB2312" w:eastAsia="仿宋_GB2312"/>
          <w:color w:val="auto"/>
          <w:sz w:val="36"/>
          <w:szCs w:val="36"/>
        </w:rPr>
        <w:t>2020年</w:t>
      </w:r>
      <w:r>
        <w:rPr>
          <w:rFonts w:hint="eastAsia" w:ascii="仿宋_GB2312" w:eastAsia="仿宋_GB2312"/>
          <w:color w:val="auto"/>
          <w:sz w:val="36"/>
          <w:szCs w:val="36"/>
          <w:lang w:val="en-US" w:eastAsia="zh-CN"/>
        </w:rPr>
        <w:t>6</w:t>
      </w:r>
      <w:r>
        <w:rPr>
          <w:rFonts w:hint="eastAsia" w:ascii="仿宋_GB2312" w:eastAsia="仿宋_GB2312"/>
          <w:color w:val="auto"/>
          <w:sz w:val="36"/>
          <w:szCs w:val="36"/>
        </w:rPr>
        <w:t>月</w:t>
      </w:r>
    </w:p>
    <w:p>
      <w:pPr>
        <w:pStyle w:val="19"/>
        <w:spacing w:before="480" w:after="300"/>
        <w:rPr>
          <w:rStyle w:val="24"/>
          <w:b/>
          <w:bCs/>
          <w:color w:val="auto"/>
        </w:rPr>
      </w:pPr>
      <w:bookmarkStart w:id="0" w:name="_Toc30889"/>
      <w:bookmarkStart w:id="1" w:name="_Toc8338"/>
      <w:bookmarkStart w:id="2" w:name="_Toc3163"/>
      <w:bookmarkStart w:id="3" w:name="_Toc28856"/>
      <w:bookmarkStart w:id="4" w:name="_Toc42087549"/>
      <w:bookmarkStart w:id="5" w:name="_Toc13675"/>
      <w:bookmarkStart w:id="6" w:name="_Toc8899"/>
      <w:r>
        <w:rPr>
          <w:color w:val="auto"/>
        </w:rPr>
        <mc:AlternateContent>
          <mc:Choice Requires="wps">
            <w:drawing>
              <wp:anchor distT="0" distB="0" distL="114300" distR="114300" simplePos="0" relativeHeight="251658240" behindDoc="0" locked="0" layoutInCell="1" allowOverlap="1">
                <wp:simplePos x="0" y="0"/>
                <wp:positionH relativeFrom="column">
                  <wp:posOffset>2459355</wp:posOffset>
                </wp:positionH>
                <wp:positionV relativeFrom="paragraph">
                  <wp:posOffset>306070</wp:posOffset>
                </wp:positionV>
                <wp:extent cx="643890" cy="458470"/>
                <wp:effectExtent l="0" t="0" r="3810" b="17780"/>
                <wp:wrapNone/>
                <wp:docPr id="17" name="矩形 17"/>
                <wp:cNvGraphicFramePr/>
                <a:graphic xmlns:a="http://schemas.openxmlformats.org/drawingml/2006/main">
                  <a:graphicData uri="http://schemas.microsoft.com/office/word/2010/wordprocessingShape">
                    <wps:wsp>
                      <wps:cNvSpPr/>
                      <wps:spPr>
                        <a:xfrm>
                          <a:off x="0" y="0"/>
                          <a:ext cx="643890" cy="45847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93.65pt;margin-top:24.1pt;height:36.1pt;width:50.7pt;z-index:251658240;mso-width-relative:page;mso-height-relative:page;" fillcolor="#FFFFFF" filled="t" stroked="f" coordsize="21600,21600" o:gfxdata="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aNfFkNgAAAAKAQAADwAAAAAAAAABACAAAAAi&#10;AAAAZHJzL2Rvd25yZXYueG1sUEsBAhQAFAAAAAgAh07iQAS4ojaYAQAAEgMAAA4AAAAAAAAAAQAg&#10;AAAAJwEAAGRycy9lMm9Eb2MueG1sUEsFBgAAAAAGAAYAWQEAADEFAAAAAA==&#10;">
                <v:fill on="t" focussize="0,0"/>
                <v:stroke on="f"/>
                <v:imagedata o:title=""/>
                <o:lock v:ext="edit" aspectratio="f"/>
              </v:rect>
            </w:pict>
          </mc:Fallback>
        </mc:AlternateContent>
      </w:r>
      <w:r>
        <w:rPr>
          <w:rFonts w:ascii="仿宋_GB2312" w:eastAsia="仿宋_GB2312"/>
          <w:color w:val="auto"/>
          <w:sz w:val="28"/>
          <w:szCs w:val="28"/>
        </w:rPr>
        <w:br w:type="page"/>
      </w:r>
      <w:bookmarkStart w:id="7" w:name="_Toc8401615"/>
      <w:bookmarkStart w:id="8" w:name="_Toc5634452"/>
      <w:bookmarkStart w:id="9" w:name="_Toc5778638"/>
      <w:bookmarkStart w:id="10" w:name="_Toc5631724"/>
      <w:bookmarkStart w:id="11" w:name="_Toc8400815"/>
      <w:bookmarkStart w:id="12" w:name="_Toc8401016"/>
      <w:bookmarkStart w:id="13" w:name="_Toc8400644"/>
      <w:bookmarkStart w:id="14" w:name="_Toc5631647"/>
      <w:bookmarkStart w:id="15" w:name="_Toc6433769"/>
      <w:bookmarkStart w:id="16" w:name="_Toc4148716"/>
      <w:bookmarkStart w:id="17" w:name="_Toc507891888"/>
      <w:bookmarkStart w:id="18" w:name="_Toc4123012"/>
      <w:bookmarkStart w:id="19" w:name="_Toc535483860"/>
      <w:r>
        <w:rPr>
          <w:rStyle w:val="24"/>
          <w:rFonts w:hint="eastAsia"/>
          <w:b/>
          <w:bCs/>
          <w:color w:val="auto"/>
        </w:rPr>
        <w:t>前 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pPr>
        <w:rPr>
          <w:color w:val="auto"/>
        </w:rPr>
      </w:pPr>
    </w:p>
    <w:p>
      <w:pPr>
        <w:pStyle w:val="25"/>
        <w:ind w:firstLine="640"/>
        <w:rPr>
          <w:color w:val="auto"/>
        </w:rPr>
      </w:pPr>
      <w:r>
        <w:rPr>
          <w:rFonts w:hint="eastAsia"/>
          <w:color w:val="auto"/>
        </w:rPr>
        <w:t>食品安全是最基本的民生，是人民群众美好生活最基本的需要，是全社会的共同期盼。食品安全抽样检验是食品安全监督抽检与风险监测的基础性工作，是市场监管部门防控食品安全风险、实现科学监管的重要手段。</w:t>
      </w:r>
    </w:p>
    <w:p>
      <w:pPr>
        <w:pStyle w:val="25"/>
        <w:ind w:firstLine="640"/>
        <w:rPr>
          <w:color w:val="auto"/>
        </w:rPr>
      </w:pPr>
      <w:r>
        <w:rPr>
          <w:rFonts w:hint="eastAsia"/>
          <w:color w:val="auto"/>
        </w:rPr>
        <w:t>深圳市市场监督管理局从战略和全局的高度出发，充分认识做好食品安全工作的重要性和紧迫性，坚持以人民为中心的发展思想，把食品安全、人民健康摆到更加突出的位置。提升监管能力和水平，层层压实各方责任，严格把好食品安全各道关口。坚持问题导向，深入开展专项整治，创新监管方式，健全社会共治，充分发挥群众监督、舆论监督重要作用，严密防范食品安全风险，坚持问题导向，加大风险排查、隐患治理力度；严格落实企业主体责任，强化责任追溯和追究，积极探索监管改革创新，动员全社会更多地参与，争取广大人民群众的理解和支持。 </w:t>
      </w:r>
    </w:p>
    <w:p>
      <w:pPr>
        <w:pStyle w:val="25"/>
        <w:ind w:firstLine="640"/>
        <w:rPr>
          <w:color w:val="auto"/>
        </w:rPr>
      </w:pPr>
      <w:r>
        <w:rPr>
          <w:rFonts w:hint="eastAsia"/>
          <w:color w:val="auto"/>
        </w:rPr>
        <w:t>本报告通过对2019年食品及食品相关产品抽检情况汇总分析，将食品及食品相关产品抽检数据模块整合，展现了2019年深圳市食品及相关产品安全状况，使相关从业人员及广大市民能够了解我市食品安全情况，积极推动我国食品安全战略实施。 </w:t>
      </w:r>
    </w:p>
    <w:p>
      <w:pPr>
        <w:spacing w:line="360" w:lineRule="auto"/>
        <w:outlineLvl w:val="2"/>
        <w:rPr>
          <w:color w:val="auto"/>
        </w:rPr>
        <w:sectPr>
          <w:pgSz w:w="11906" w:h="16838"/>
          <w:pgMar w:top="1474" w:right="1474" w:bottom="1588" w:left="1474" w:header="851" w:footer="992" w:gutter="0"/>
          <w:pgBorders>
            <w:top w:val="none" w:sz="0" w:space="0"/>
            <w:left w:val="none" w:sz="0" w:space="0"/>
            <w:bottom w:val="none" w:sz="0" w:space="0"/>
            <w:right w:val="none" w:sz="0" w:space="0"/>
          </w:pgBorders>
          <w:pgNumType w:start="1"/>
          <w:cols w:space="720" w:num="1"/>
          <w:docGrid w:linePitch="312" w:charSpace="0"/>
        </w:sectPr>
      </w:pPr>
      <w:bookmarkStart w:id="20" w:name="_Toc7508"/>
      <w:bookmarkStart w:id="21" w:name="_Toc42087550"/>
      <w:bookmarkStart w:id="22" w:name="_Toc15650"/>
      <w:bookmarkStart w:id="23" w:name="_Toc15161"/>
      <w:bookmarkStart w:id="24" w:name="_Toc31999"/>
      <w:bookmarkStart w:id="25" w:name="_Toc18838"/>
      <w:bookmarkStart w:id="26" w:name="_Toc7814"/>
      <w:r>
        <w:rPr>
          <w:color w:val="auto"/>
        </w:rPr>
        <mc:AlternateContent>
          <mc:Choice Requires="wps">
            <w:drawing>
              <wp:anchor distT="0" distB="0" distL="114300" distR="114300" simplePos="0" relativeHeight="251659264" behindDoc="0" locked="0" layoutInCell="1" allowOverlap="1">
                <wp:simplePos x="0" y="0"/>
                <wp:positionH relativeFrom="column">
                  <wp:posOffset>2458720</wp:posOffset>
                </wp:positionH>
                <wp:positionV relativeFrom="paragraph">
                  <wp:posOffset>2113280</wp:posOffset>
                </wp:positionV>
                <wp:extent cx="643890" cy="458470"/>
                <wp:effectExtent l="0" t="0" r="3810" b="17780"/>
                <wp:wrapNone/>
                <wp:docPr id="23" name="矩形 23"/>
                <wp:cNvGraphicFramePr/>
                <a:graphic xmlns:a="http://schemas.openxmlformats.org/drawingml/2006/main">
                  <a:graphicData uri="http://schemas.microsoft.com/office/word/2010/wordprocessingShape">
                    <wps:wsp>
                      <wps:cNvSpPr/>
                      <wps:spPr>
                        <a:xfrm>
                          <a:off x="0" y="0"/>
                          <a:ext cx="643890" cy="45847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93.6pt;margin-top:166.4pt;height:36.1pt;width:50.7pt;z-index:251659264;mso-width-relative:page;mso-height-relative:page;" fillcolor="#FFFFFF" filled="t" stroked="f" coordsize="21600,21600" o:gfxdata="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QslzZdgAAAALAQAADwAAAAAAAAABACAAAAAi&#10;AAAAZHJzL2Rvd25yZXYueG1sUEsBAhQAFAAAAAgAh07iQHSjxPSYAQAAEgMAAA4AAAAAAAAAAQAg&#10;AAAAJwEAAGRycy9lMm9Eb2MueG1sUEsFBgAAAAAGAAYAWQEAADEFAAAAAA==&#10;">
                <v:fill on="t" focussize="0,0"/>
                <v:stroke on="f"/>
                <v:imagedata o:title=""/>
                <o:lock v:ext="edit" aspectratio="f"/>
              </v:rect>
            </w:pict>
          </mc:Fallback>
        </mc:AlternateContent>
      </w:r>
      <w:r>
        <w:rPr>
          <w:color w:val="auto"/>
        </w:rPr>
        <w:br w:type="page"/>
      </w:r>
      <w:bookmarkEnd w:id="20"/>
      <w:bookmarkEnd w:id="21"/>
      <w:bookmarkEnd w:id="22"/>
      <w:bookmarkEnd w:id="23"/>
      <w:bookmarkEnd w:id="24"/>
      <w:bookmarkEnd w:id="25"/>
      <w:bookmarkEnd w:id="26"/>
      <w:bookmarkStart w:id="27" w:name="_Toc8400817"/>
      <w:bookmarkStart w:id="28" w:name="_Toc8400646"/>
      <w:bookmarkStart w:id="29" w:name="_Toc535483861"/>
      <w:bookmarkStart w:id="30" w:name="_Toc8401617"/>
      <w:bookmarkStart w:id="31" w:name="_Toc507257624"/>
      <w:bookmarkStart w:id="32" w:name="_Toc507258209"/>
    </w:p>
    <w:p>
      <w:pPr>
        <w:pStyle w:val="19"/>
        <w:jc w:val="center"/>
        <w:rPr>
          <w:color w:val="auto"/>
        </w:rPr>
      </w:pPr>
      <w:bookmarkStart w:id="33" w:name="_Toc5102"/>
      <w:bookmarkStart w:id="34" w:name="_Toc42087559"/>
      <w:r>
        <w:rPr>
          <w:rFonts w:hint="eastAsia"/>
          <w:color w:val="auto"/>
        </w:rPr>
        <w:t>第一部分</w:t>
      </w:r>
      <w:bookmarkEnd w:id="33"/>
      <w:bookmarkEnd w:id="34"/>
    </w:p>
    <w:p>
      <w:pPr>
        <w:pStyle w:val="19"/>
        <w:jc w:val="center"/>
        <w:rPr>
          <w:color w:val="auto"/>
        </w:rPr>
      </w:pPr>
      <w:bookmarkStart w:id="35" w:name="_Toc13241"/>
      <w:bookmarkStart w:id="36" w:name="_Toc42087560"/>
      <w:bookmarkStart w:id="37" w:name="_Toc10462"/>
      <w:bookmarkStart w:id="38" w:name="_Toc31247"/>
      <w:r>
        <w:rPr>
          <w:rFonts w:hint="eastAsia"/>
          <w:color w:val="auto"/>
        </w:rPr>
        <w:t>抽检总体情况</w:t>
      </w:r>
      <w:bookmarkEnd w:id="27"/>
      <w:bookmarkEnd w:id="28"/>
      <w:bookmarkEnd w:id="29"/>
      <w:bookmarkEnd w:id="30"/>
      <w:bookmarkEnd w:id="35"/>
      <w:bookmarkEnd w:id="36"/>
      <w:bookmarkEnd w:id="37"/>
      <w:bookmarkEnd w:id="38"/>
    </w:p>
    <w:p>
      <w:pPr>
        <w:pStyle w:val="2"/>
        <w:ind w:left="0" w:leftChars="0" w:firstLine="0" w:firstLineChars="0"/>
        <w:rPr>
          <w:color w:val="auto"/>
        </w:rPr>
      </w:pPr>
    </w:p>
    <w:p>
      <w:pPr>
        <w:pStyle w:val="25"/>
        <w:ind w:firstLine="640"/>
        <w:rPr>
          <w:color w:val="auto"/>
        </w:rPr>
      </w:pPr>
      <w:r>
        <w:rPr>
          <w:rFonts w:hint="eastAsia"/>
          <w:color w:val="auto"/>
        </w:rPr>
        <w:t>2019年，深圳市市场监督管理局按照既定计划，开展食品日常监督抽检、专项抽检、执法抽检、评价性抽检等各项工作，</w:t>
      </w:r>
      <w:r>
        <w:rPr>
          <w:color w:val="auto"/>
        </w:rPr>
        <w:t>通过发挥食品抽检“大数据”</w:t>
      </w:r>
      <w:r>
        <w:rPr>
          <w:rFonts w:hint="eastAsia"/>
          <w:color w:val="auto"/>
        </w:rPr>
        <w:t>能效，实现食品安全监管全力提速</w:t>
      </w:r>
      <w:r>
        <w:rPr>
          <w:color w:val="auto"/>
        </w:rPr>
        <w:t>。</w:t>
      </w:r>
    </w:p>
    <w:p>
      <w:pPr>
        <w:pStyle w:val="4"/>
        <w:spacing w:before="360"/>
        <w:rPr>
          <w:color w:val="auto"/>
        </w:rPr>
      </w:pPr>
      <w:bookmarkStart w:id="39" w:name="_Toc42087563"/>
      <w:r>
        <w:rPr>
          <w:rFonts w:hint="eastAsia"/>
          <w:color w:val="auto"/>
          <w:lang w:eastAsia="zh-CN"/>
        </w:rPr>
        <w:t>一</w:t>
      </w:r>
      <w:r>
        <w:rPr>
          <w:rFonts w:hint="eastAsia"/>
          <w:color w:val="auto"/>
        </w:rPr>
        <w:t>、总体情况</w:t>
      </w:r>
      <w:bookmarkEnd w:id="39"/>
    </w:p>
    <w:p>
      <w:pPr>
        <w:pStyle w:val="25"/>
        <w:ind w:firstLine="640"/>
        <w:rPr>
          <w:rFonts w:hint="eastAsia"/>
          <w:color w:val="auto"/>
          <w:lang w:eastAsia="zh-CN"/>
        </w:rPr>
      </w:pPr>
      <w:r>
        <w:rPr>
          <w:rFonts w:hint="eastAsia"/>
          <w:color w:val="auto"/>
        </w:rPr>
        <w:t>全年共完成食品及食品相关产品抽检69065批次，实现</w:t>
      </w:r>
      <w:r>
        <w:rPr>
          <w:color w:val="auto"/>
        </w:rPr>
        <w:t>4.</w:t>
      </w:r>
      <w:r>
        <w:rPr>
          <w:rFonts w:hint="eastAsia"/>
          <w:color w:val="auto"/>
        </w:rPr>
        <w:t>60批次/千人覆盖率（按照深圳常住人口1500万计算），</w:t>
      </w:r>
      <w:r>
        <w:rPr>
          <w:color w:val="auto"/>
        </w:rPr>
        <w:t>全年</w:t>
      </w:r>
      <w:r>
        <w:rPr>
          <w:rFonts w:hint="eastAsia"/>
          <w:color w:val="auto"/>
        </w:rPr>
        <w:t>共组织</w:t>
      </w:r>
      <w:r>
        <w:rPr>
          <w:color w:val="auto"/>
        </w:rPr>
        <w:t>抽检</w:t>
      </w:r>
      <w:r>
        <w:rPr>
          <w:rFonts w:hint="eastAsia"/>
          <w:color w:val="auto"/>
        </w:rPr>
        <w:t>32282</w:t>
      </w:r>
      <w:r>
        <w:rPr>
          <w:color w:val="auto"/>
        </w:rPr>
        <w:t>家</w:t>
      </w:r>
      <w:r>
        <w:rPr>
          <w:rFonts w:hint="eastAsia"/>
          <w:color w:val="auto"/>
        </w:rPr>
        <w:t>/户</w:t>
      </w:r>
      <w:r>
        <w:rPr>
          <w:color w:val="auto"/>
        </w:rPr>
        <w:t>食品生产经营单位的食品</w:t>
      </w:r>
      <w:r>
        <w:rPr>
          <w:rFonts w:hint="eastAsia"/>
          <w:color w:val="auto"/>
        </w:rPr>
        <w:t>及相关产品，共检测食品安全指标423686项次，达到28.2项次/千人的项目检测覆盖率。其中，食品共抽检67891批次样品，包括日常监督抽检</w:t>
      </w:r>
      <w:r>
        <w:rPr>
          <w:color w:val="auto"/>
        </w:rPr>
        <w:t>36387</w:t>
      </w:r>
      <w:r>
        <w:rPr>
          <w:rFonts w:hint="eastAsia"/>
          <w:color w:val="auto"/>
        </w:rPr>
        <w:t>批次、专项监督抽检</w:t>
      </w:r>
      <w:r>
        <w:rPr>
          <w:color w:val="auto"/>
        </w:rPr>
        <w:t>16297</w:t>
      </w:r>
      <w:r>
        <w:rPr>
          <w:rFonts w:hint="eastAsia"/>
          <w:color w:val="auto"/>
        </w:rPr>
        <w:t>批次、执法监督抽检</w:t>
      </w:r>
      <w:r>
        <w:rPr>
          <w:color w:val="auto"/>
        </w:rPr>
        <w:t>2707</w:t>
      </w:r>
      <w:r>
        <w:rPr>
          <w:rFonts w:hint="eastAsia"/>
          <w:color w:val="auto"/>
        </w:rPr>
        <w:t>批次、评价性抽检</w:t>
      </w:r>
      <w:r>
        <w:rPr>
          <w:color w:val="auto"/>
        </w:rPr>
        <w:t>12500</w:t>
      </w:r>
      <w:r>
        <w:rPr>
          <w:rFonts w:hint="eastAsia"/>
          <w:color w:val="auto"/>
        </w:rPr>
        <w:t>批次；食品相关产品抽检1</w:t>
      </w:r>
      <w:r>
        <w:rPr>
          <w:color w:val="auto"/>
        </w:rPr>
        <w:t>174</w:t>
      </w:r>
      <w:r>
        <w:rPr>
          <w:rFonts w:hint="eastAsia"/>
          <w:color w:val="auto"/>
        </w:rPr>
        <w:t>批次。</w:t>
      </w:r>
      <w:r>
        <w:rPr>
          <w:rFonts w:hint="eastAsia"/>
          <w:color w:val="auto"/>
          <w:spacing w:val="-20"/>
        </w:rPr>
        <w:t>本年度抽检合计发现问题样品910批次，</w:t>
      </w:r>
      <w:r>
        <w:rPr>
          <w:rFonts w:hint="eastAsia"/>
          <w:color w:val="auto"/>
          <w:spacing w:val="-20"/>
          <w:lang w:eastAsia="zh-CN"/>
        </w:rPr>
        <w:t>整体问题发现率为</w:t>
      </w:r>
      <w:r>
        <w:rPr>
          <w:rFonts w:hint="eastAsia"/>
          <w:color w:val="auto"/>
          <w:spacing w:val="-20"/>
          <w:lang w:val="en-US" w:eastAsia="zh-CN"/>
        </w:rPr>
        <w:t>1.32%，</w:t>
      </w:r>
      <w:r>
        <w:rPr>
          <w:rFonts w:hint="eastAsia"/>
          <w:color w:val="auto"/>
          <w:lang w:eastAsia="zh-CN"/>
        </w:rPr>
        <w:t>其中，食品监督抽检合格率为</w:t>
      </w:r>
      <w:r>
        <w:rPr>
          <w:rFonts w:hint="eastAsia"/>
          <w:color w:val="auto"/>
          <w:lang w:val="en-US" w:eastAsia="zh-CN"/>
        </w:rPr>
        <w:t>98.7</w:t>
      </w:r>
      <w:r>
        <w:rPr>
          <w:rFonts w:hint="eastAsia"/>
          <w:color w:val="auto"/>
        </w:rPr>
        <w:t>%</w:t>
      </w:r>
      <w:r>
        <w:rPr>
          <w:rFonts w:hint="eastAsia"/>
          <w:color w:val="auto"/>
          <w:lang w:eastAsia="zh-CN"/>
        </w:rPr>
        <w:t>，比</w:t>
      </w:r>
      <w:r>
        <w:rPr>
          <w:rFonts w:hint="eastAsia"/>
          <w:color w:val="auto"/>
          <w:lang w:val="en-US" w:eastAsia="zh-CN"/>
        </w:rPr>
        <w:t>2018年提高0.3个百分点，</w:t>
      </w:r>
      <w:r>
        <w:rPr>
          <w:rFonts w:hint="eastAsia"/>
          <w:color w:val="auto"/>
          <w:lang w:eastAsia="zh-CN"/>
        </w:rPr>
        <w:t>比国家市场监管总局公布的</w:t>
      </w:r>
      <w:r>
        <w:rPr>
          <w:rFonts w:hint="eastAsia"/>
          <w:color w:val="auto"/>
          <w:lang w:val="en-US" w:eastAsia="zh-CN"/>
        </w:rPr>
        <w:t>2019年全国食品监督</w:t>
      </w:r>
      <w:r>
        <w:rPr>
          <w:rFonts w:hint="eastAsia"/>
          <w:color w:val="auto"/>
          <w:lang w:eastAsia="zh-CN"/>
        </w:rPr>
        <w:t>抽检总体合格率（97.6%）高出</w:t>
      </w:r>
      <w:r>
        <w:rPr>
          <w:rFonts w:hint="eastAsia"/>
          <w:color w:val="auto"/>
          <w:lang w:val="en-US" w:eastAsia="zh-CN"/>
        </w:rPr>
        <w:t>1.1个百分点</w:t>
      </w:r>
      <w:r>
        <w:rPr>
          <w:rFonts w:hint="eastAsia"/>
          <w:color w:val="auto"/>
          <w:lang w:eastAsia="zh-CN"/>
        </w:rPr>
        <w:t>。</w:t>
      </w:r>
    </w:p>
    <w:p>
      <w:pPr>
        <w:pStyle w:val="25"/>
        <w:ind w:firstLine="640"/>
        <w:rPr>
          <w:color w:val="auto"/>
        </w:rPr>
      </w:pPr>
      <w:r>
        <w:rPr>
          <w:rFonts w:hint="eastAsia"/>
          <w:color w:val="auto"/>
        </w:rPr>
        <w:t>各任务抽检情况见表1-1，2</w:t>
      </w:r>
      <w:r>
        <w:rPr>
          <w:color w:val="auto"/>
        </w:rPr>
        <w:t>019</w:t>
      </w:r>
      <w:r>
        <w:rPr>
          <w:rFonts w:hint="eastAsia"/>
          <w:color w:val="auto"/>
        </w:rPr>
        <w:t>年所有抽检任务各环节抽检批次见图1-1，各行政区抽检批次见图1-</w:t>
      </w:r>
      <w:r>
        <w:rPr>
          <w:color w:val="auto"/>
        </w:rPr>
        <w:t>2</w:t>
      </w:r>
      <w:r>
        <w:rPr>
          <w:rFonts w:hint="eastAsia"/>
          <w:color w:val="auto"/>
        </w:rPr>
        <w:t>。</w:t>
      </w:r>
    </w:p>
    <w:p>
      <w:pPr>
        <w:rPr>
          <w:color w:val="auto"/>
        </w:rPr>
      </w:pPr>
    </w:p>
    <w:p>
      <w:pPr>
        <w:pStyle w:val="28"/>
        <w:spacing w:after="120"/>
        <w:rPr>
          <w:rFonts w:hint="eastAsia"/>
          <w:color w:val="auto"/>
        </w:rPr>
      </w:pPr>
      <w:bookmarkStart w:id="40" w:name="_Hlk28940036"/>
    </w:p>
    <w:p>
      <w:pPr>
        <w:pStyle w:val="28"/>
        <w:spacing w:after="120"/>
        <w:rPr>
          <w:rFonts w:hint="eastAsia"/>
          <w:color w:val="auto"/>
        </w:rPr>
      </w:pPr>
    </w:p>
    <w:p>
      <w:pPr>
        <w:pStyle w:val="28"/>
        <w:spacing w:after="120"/>
        <w:rPr>
          <w:rFonts w:hint="eastAsia"/>
          <w:color w:val="auto"/>
        </w:rPr>
      </w:pPr>
    </w:p>
    <w:p>
      <w:pPr>
        <w:pStyle w:val="28"/>
        <w:spacing w:after="120"/>
        <w:rPr>
          <w:rFonts w:hint="eastAsia"/>
          <w:color w:val="auto"/>
        </w:rPr>
      </w:pPr>
    </w:p>
    <w:p>
      <w:pPr>
        <w:pStyle w:val="28"/>
        <w:spacing w:after="120"/>
        <w:rPr>
          <w:color w:val="auto"/>
        </w:rPr>
      </w:pPr>
      <w:r>
        <w:rPr>
          <w:rFonts w:hint="eastAsia"/>
          <w:color w:val="auto"/>
        </w:rPr>
        <w:t>表</w:t>
      </w:r>
      <w:r>
        <w:rPr>
          <w:color w:val="auto"/>
        </w:rPr>
        <w:t>1-1</w:t>
      </w:r>
      <w:r>
        <w:rPr>
          <w:rFonts w:hint="eastAsia"/>
          <w:color w:val="auto"/>
        </w:rPr>
        <w:t xml:space="preserve">  食品及食品相关产品各抽检任务统计表</w:t>
      </w:r>
    </w:p>
    <w:tbl>
      <w:tblPr>
        <w:tblStyle w:val="20"/>
        <w:tblW w:w="8891" w:type="dxa"/>
        <w:tblInd w:w="91" w:type="dxa"/>
        <w:tblLayout w:type="fixed"/>
        <w:tblCellMar>
          <w:top w:w="0" w:type="dxa"/>
          <w:left w:w="108" w:type="dxa"/>
          <w:bottom w:w="0" w:type="dxa"/>
          <w:right w:w="108" w:type="dxa"/>
        </w:tblCellMar>
      </w:tblPr>
      <w:tblGrid>
        <w:gridCol w:w="1088"/>
        <w:gridCol w:w="895"/>
        <w:gridCol w:w="1433"/>
        <w:gridCol w:w="1331"/>
        <w:gridCol w:w="1219"/>
        <w:gridCol w:w="1593"/>
        <w:gridCol w:w="1332"/>
      </w:tblGrid>
      <w:tr>
        <w:tblPrEx>
          <w:tblLayout w:type="fixed"/>
          <w:tblCellMar>
            <w:top w:w="0" w:type="dxa"/>
            <w:left w:w="108" w:type="dxa"/>
            <w:bottom w:w="0" w:type="dxa"/>
            <w:right w:w="108" w:type="dxa"/>
          </w:tblCellMar>
        </w:tblPrEx>
        <w:trPr>
          <w:trHeight w:val="425" w:hRule="atLeast"/>
        </w:trPr>
        <w:tc>
          <w:tcPr>
            <w:tcW w:w="1983" w:type="dxa"/>
            <w:gridSpan w:val="2"/>
            <w:tcBorders>
              <w:top w:val="single" w:color="FFFFFF" w:sz="8" w:space="0"/>
              <w:left w:val="single" w:color="FFFFFF" w:sz="8" w:space="0"/>
              <w:bottom w:val="single" w:color="FFFFFF" w:sz="18" w:space="0"/>
              <w:right w:val="single" w:color="FFFFFF" w:sz="8" w:space="0"/>
            </w:tcBorders>
            <w:shd w:val="clear" w:color="000000" w:fill="4F81BD"/>
            <w:vAlign w:val="center"/>
          </w:tcPr>
          <w:p>
            <w:pPr>
              <w:pStyle w:val="29"/>
              <w:rPr>
                <w:color w:val="auto"/>
              </w:rPr>
            </w:pPr>
            <w:r>
              <w:rPr>
                <w:rFonts w:hint="eastAsia"/>
                <w:color w:val="auto"/>
              </w:rPr>
              <w:t>任务类型</w:t>
            </w:r>
          </w:p>
        </w:tc>
        <w:tc>
          <w:tcPr>
            <w:tcW w:w="1433" w:type="dxa"/>
            <w:tcBorders>
              <w:top w:val="single" w:color="FFFFFF" w:sz="8" w:space="0"/>
              <w:left w:val="single" w:color="FFFFFF" w:sz="8" w:space="0"/>
              <w:bottom w:val="single" w:color="FFFFFF" w:sz="18" w:space="0"/>
              <w:right w:val="single" w:color="FFFFFF" w:sz="8" w:space="0"/>
            </w:tcBorders>
            <w:shd w:val="clear" w:color="000000" w:fill="4F81BD"/>
            <w:vAlign w:val="center"/>
          </w:tcPr>
          <w:p>
            <w:pPr>
              <w:pStyle w:val="29"/>
              <w:rPr>
                <w:color w:val="auto"/>
              </w:rPr>
            </w:pPr>
            <w:r>
              <w:rPr>
                <w:rFonts w:hint="eastAsia"/>
                <w:color w:val="auto"/>
              </w:rPr>
              <w:t>抽检家次数</w:t>
            </w:r>
          </w:p>
        </w:tc>
        <w:tc>
          <w:tcPr>
            <w:tcW w:w="1331" w:type="dxa"/>
            <w:tcBorders>
              <w:top w:val="single" w:color="FFFFFF" w:sz="8" w:space="0"/>
              <w:left w:val="single" w:color="FFFFFF" w:sz="8" w:space="0"/>
              <w:bottom w:val="single" w:color="FFFFFF" w:sz="18" w:space="0"/>
              <w:right w:val="single" w:color="FFFFFF" w:sz="8" w:space="0"/>
            </w:tcBorders>
            <w:shd w:val="clear" w:color="000000" w:fill="4F81BD"/>
            <w:vAlign w:val="center"/>
          </w:tcPr>
          <w:p>
            <w:pPr>
              <w:pStyle w:val="29"/>
              <w:rPr>
                <w:color w:val="auto"/>
              </w:rPr>
            </w:pPr>
            <w:r>
              <w:rPr>
                <w:rFonts w:hint="eastAsia"/>
                <w:color w:val="auto"/>
              </w:rPr>
              <w:t>抽检批次</w:t>
            </w:r>
          </w:p>
        </w:tc>
        <w:tc>
          <w:tcPr>
            <w:tcW w:w="1219" w:type="dxa"/>
            <w:tcBorders>
              <w:top w:val="single" w:color="FFFFFF" w:sz="8" w:space="0"/>
              <w:left w:val="single" w:color="FFFFFF" w:sz="8" w:space="0"/>
              <w:bottom w:val="single" w:color="FFFFFF" w:sz="18" w:space="0"/>
              <w:right w:val="single" w:color="FFFFFF" w:sz="8" w:space="0"/>
            </w:tcBorders>
            <w:shd w:val="clear" w:color="000000" w:fill="4F81BD"/>
            <w:vAlign w:val="center"/>
          </w:tcPr>
          <w:p>
            <w:pPr>
              <w:pStyle w:val="29"/>
              <w:rPr>
                <w:color w:val="auto"/>
              </w:rPr>
            </w:pPr>
            <w:r>
              <w:rPr>
                <w:rFonts w:hint="eastAsia"/>
                <w:color w:val="auto"/>
              </w:rPr>
              <w:t>问题批次</w:t>
            </w:r>
          </w:p>
        </w:tc>
        <w:tc>
          <w:tcPr>
            <w:tcW w:w="1593" w:type="dxa"/>
            <w:tcBorders>
              <w:top w:val="single" w:color="FFFFFF" w:sz="8" w:space="0"/>
              <w:left w:val="single" w:color="FFFFFF" w:sz="8" w:space="0"/>
              <w:bottom w:val="single" w:color="FFFFFF" w:sz="18" w:space="0"/>
              <w:right w:val="single" w:color="FFFFFF" w:sz="8" w:space="0"/>
            </w:tcBorders>
            <w:shd w:val="clear" w:color="000000" w:fill="4F81BD"/>
            <w:vAlign w:val="center"/>
          </w:tcPr>
          <w:p>
            <w:pPr>
              <w:pStyle w:val="29"/>
              <w:rPr>
                <w:color w:val="auto"/>
              </w:rPr>
            </w:pPr>
            <w:r>
              <w:rPr>
                <w:rFonts w:hint="eastAsia"/>
                <w:color w:val="auto"/>
              </w:rPr>
              <w:t>问题发现率，%</w:t>
            </w:r>
          </w:p>
        </w:tc>
        <w:tc>
          <w:tcPr>
            <w:tcW w:w="1332" w:type="dxa"/>
            <w:tcBorders>
              <w:top w:val="single" w:color="FFFFFF" w:sz="8" w:space="0"/>
              <w:left w:val="single" w:color="FFFFFF" w:sz="8" w:space="0"/>
              <w:bottom w:val="single" w:color="FFFFFF" w:sz="18" w:space="0"/>
              <w:right w:val="single" w:color="FFFFFF" w:sz="8" w:space="0"/>
            </w:tcBorders>
            <w:shd w:val="clear" w:color="000000" w:fill="4F81BD"/>
            <w:vAlign w:val="center"/>
          </w:tcPr>
          <w:p>
            <w:pPr>
              <w:pStyle w:val="29"/>
              <w:rPr>
                <w:color w:val="auto"/>
              </w:rPr>
            </w:pPr>
            <w:r>
              <w:rPr>
                <w:rFonts w:hint="eastAsia"/>
                <w:color w:val="auto"/>
              </w:rPr>
              <w:t>合格率，%</w:t>
            </w:r>
          </w:p>
        </w:tc>
      </w:tr>
      <w:tr>
        <w:tblPrEx>
          <w:tblLayout w:type="fixed"/>
          <w:tblCellMar>
            <w:top w:w="0" w:type="dxa"/>
            <w:left w:w="108" w:type="dxa"/>
            <w:bottom w:w="0" w:type="dxa"/>
            <w:right w:w="108" w:type="dxa"/>
          </w:tblCellMar>
        </w:tblPrEx>
        <w:trPr>
          <w:trHeight w:val="425" w:hRule="atLeast"/>
        </w:trPr>
        <w:tc>
          <w:tcPr>
            <w:tcW w:w="1088" w:type="dxa"/>
            <w:vMerge w:val="restart"/>
            <w:tcBorders>
              <w:top w:val="single" w:color="FFFFFF" w:sz="18" w:space="0"/>
              <w:left w:val="single" w:color="FFFFFF" w:sz="8" w:space="0"/>
              <w:bottom w:val="single" w:color="FFFFFF" w:sz="8" w:space="0"/>
              <w:right w:val="single" w:color="FFFFFF" w:sz="8" w:space="0"/>
            </w:tcBorders>
            <w:shd w:val="clear" w:color="auto" w:fill="D0D8E8"/>
            <w:vAlign w:val="center"/>
          </w:tcPr>
          <w:p>
            <w:pPr>
              <w:pStyle w:val="30"/>
              <w:rPr>
                <w:rFonts w:hint="eastAsia"/>
                <w:color w:val="auto"/>
                <w:lang w:eastAsia="zh-CN"/>
              </w:rPr>
            </w:pPr>
            <w:r>
              <w:rPr>
                <w:rFonts w:hint="eastAsia"/>
                <w:color w:val="auto"/>
                <w:lang w:eastAsia="zh-CN"/>
              </w:rPr>
              <w:t>食品</w:t>
            </w:r>
          </w:p>
          <w:p>
            <w:pPr>
              <w:pStyle w:val="30"/>
              <w:rPr>
                <w:color w:val="auto"/>
              </w:rPr>
            </w:pPr>
            <w:r>
              <w:rPr>
                <w:rFonts w:hint="eastAsia"/>
                <w:color w:val="auto"/>
              </w:rPr>
              <w:t>监督</w:t>
            </w:r>
          </w:p>
          <w:p>
            <w:pPr>
              <w:pStyle w:val="30"/>
              <w:rPr>
                <w:color w:val="auto"/>
              </w:rPr>
            </w:pPr>
            <w:r>
              <w:rPr>
                <w:rFonts w:hint="eastAsia"/>
                <w:color w:val="auto"/>
              </w:rPr>
              <w:t>抽检</w:t>
            </w:r>
          </w:p>
        </w:tc>
        <w:tc>
          <w:tcPr>
            <w:tcW w:w="895" w:type="dxa"/>
            <w:tcBorders>
              <w:top w:val="single" w:color="FFFFFF" w:sz="1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日常</w:t>
            </w:r>
          </w:p>
        </w:tc>
        <w:tc>
          <w:tcPr>
            <w:tcW w:w="1433" w:type="dxa"/>
            <w:tcBorders>
              <w:top w:val="single" w:color="FFFFFF" w:sz="1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1</w:t>
            </w:r>
            <w:r>
              <w:rPr>
                <w:color w:val="auto"/>
              </w:rPr>
              <w:t>8400</w:t>
            </w:r>
          </w:p>
        </w:tc>
        <w:tc>
          <w:tcPr>
            <w:tcW w:w="1331" w:type="dxa"/>
            <w:tcBorders>
              <w:top w:val="single" w:color="FFFFFF" w:sz="1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36387</w:t>
            </w:r>
          </w:p>
        </w:tc>
        <w:tc>
          <w:tcPr>
            <w:tcW w:w="1219" w:type="dxa"/>
            <w:tcBorders>
              <w:top w:val="single" w:color="FFFFFF" w:sz="1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33</w:t>
            </w:r>
            <w:r>
              <w:rPr>
                <w:color w:val="auto"/>
              </w:rPr>
              <w:t>0</w:t>
            </w:r>
          </w:p>
        </w:tc>
        <w:tc>
          <w:tcPr>
            <w:tcW w:w="1593" w:type="dxa"/>
            <w:tcBorders>
              <w:top w:val="single" w:color="FFFFFF" w:sz="1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0.9</w:t>
            </w:r>
            <w:r>
              <w:rPr>
                <w:color w:val="auto"/>
              </w:rPr>
              <w:t>1</w:t>
            </w:r>
          </w:p>
        </w:tc>
        <w:tc>
          <w:tcPr>
            <w:tcW w:w="1332" w:type="dxa"/>
            <w:tcBorders>
              <w:top w:val="single" w:color="FFFFFF" w:sz="1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w:t>
            </w:r>
          </w:p>
        </w:tc>
      </w:tr>
      <w:tr>
        <w:tblPrEx>
          <w:tblLayout w:type="fixed"/>
          <w:tblCellMar>
            <w:top w:w="0" w:type="dxa"/>
            <w:left w:w="108" w:type="dxa"/>
            <w:bottom w:w="0" w:type="dxa"/>
            <w:right w:w="108" w:type="dxa"/>
          </w:tblCellMar>
        </w:tblPrEx>
        <w:trPr>
          <w:trHeight w:val="425" w:hRule="atLeast"/>
        </w:trPr>
        <w:tc>
          <w:tcPr>
            <w:tcW w:w="1088" w:type="dxa"/>
            <w:vMerge w:val="continue"/>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p>
        </w:tc>
        <w:tc>
          <w:tcPr>
            <w:tcW w:w="895"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专项</w:t>
            </w:r>
          </w:p>
        </w:tc>
        <w:tc>
          <w:tcPr>
            <w:tcW w:w="1433"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8</w:t>
            </w:r>
            <w:r>
              <w:rPr>
                <w:color w:val="auto"/>
              </w:rPr>
              <w:t>277</w:t>
            </w:r>
          </w:p>
        </w:tc>
        <w:tc>
          <w:tcPr>
            <w:tcW w:w="1331"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16297</w:t>
            </w:r>
          </w:p>
        </w:tc>
        <w:tc>
          <w:tcPr>
            <w:tcW w:w="1219"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267</w:t>
            </w:r>
          </w:p>
        </w:tc>
        <w:tc>
          <w:tcPr>
            <w:tcW w:w="1593"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1.64</w:t>
            </w:r>
          </w:p>
        </w:tc>
        <w:tc>
          <w:tcPr>
            <w:tcW w:w="1332"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w:t>
            </w:r>
          </w:p>
        </w:tc>
      </w:tr>
      <w:tr>
        <w:tblPrEx>
          <w:tblLayout w:type="fixed"/>
          <w:tblCellMar>
            <w:top w:w="0" w:type="dxa"/>
            <w:left w:w="108" w:type="dxa"/>
            <w:bottom w:w="0" w:type="dxa"/>
            <w:right w:w="108" w:type="dxa"/>
          </w:tblCellMar>
        </w:tblPrEx>
        <w:trPr>
          <w:trHeight w:val="425" w:hRule="atLeast"/>
        </w:trPr>
        <w:tc>
          <w:tcPr>
            <w:tcW w:w="1088" w:type="dxa"/>
            <w:vMerge w:val="continue"/>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p>
        </w:tc>
        <w:tc>
          <w:tcPr>
            <w:tcW w:w="895"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执法</w:t>
            </w:r>
          </w:p>
        </w:tc>
        <w:tc>
          <w:tcPr>
            <w:tcW w:w="1433"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1</w:t>
            </w:r>
            <w:r>
              <w:rPr>
                <w:color w:val="auto"/>
              </w:rPr>
              <w:t>350</w:t>
            </w:r>
          </w:p>
        </w:tc>
        <w:tc>
          <w:tcPr>
            <w:tcW w:w="1331"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2707</w:t>
            </w:r>
          </w:p>
        </w:tc>
        <w:tc>
          <w:tcPr>
            <w:tcW w:w="1219"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133</w:t>
            </w:r>
          </w:p>
        </w:tc>
        <w:tc>
          <w:tcPr>
            <w:tcW w:w="1593"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4.91</w:t>
            </w:r>
          </w:p>
        </w:tc>
        <w:tc>
          <w:tcPr>
            <w:tcW w:w="1332"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w:t>
            </w:r>
          </w:p>
        </w:tc>
      </w:tr>
      <w:tr>
        <w:tblPrEx>
          <w:tblLayout w:type="fixed"/>
          <w:tblCellMar>
            <w:top w:w="0" w:type="dxa"/>
            <w:left w:w="108" w:type="dxa"/>
            <w:bottom w:w="0" w:type="dxa"/>
            <w:right w:w="108" w:type="dxa"/>
          </w:tblCellMar>
        </w:tblPrEx>
        <w:trPr>
          <w:trHeight w:val="425" w:hRule="atLeast"/>
        </w:trPr>
        <w:tc>
          <w:tcPr>
            <w:tcW w:w="1088" w:type="dxa"/>
            <w:vMerge w:val="continue"/>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p>
        </w:tc>
        <w:tc>
          <w:tcPr>
            <w:tcW w:w="895"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合计</w:t>
            </w:r>
          </w:p>
        </w:tc>
        <w:tc>
          <w:tcPr>
            <w:tcW w:w="1433"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2</w:t>
            </w:r>
            <w:r>
              <w:rPr>
                <w:color w:val="auto"/>
              </w:rPr>
              <w:t>8027</w:t>
            </w:r>
          </w:p>
        </w:tc>
        <w:tc>
          <w:tcPr>
            <w:tcW w:w="1331"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55391</w:t>
            </w:r>
          </w:p>
        </w:tc>
        <w:tc>
          <w:tcPr>
            <w:tcW w:w="1219"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73</w:t>
            </w:r>
            <w:r>
              <w:rPr>
                <w:color w:val="auto"/>
              </w:rPr>
              <w:t>0</w:t>
            </w:r>
          </w:p>
        </w:tc>
        <w:tc>
          <w:tcPr>
            <w:tcW w:w="1593"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1.32</w:t>
            </w:r>
          </w:p>
        </w:tc>
        <w:tc>
          <w:tcPr>
            <w:tcW w:w="1332"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w:t>
            </w:r>
          </w:p>
        </w:tc>
      </w:tr>
      <w:tr>
        <w:tblPrEx>
          <w:tblLayout w:type="fixed"/>
          <w:tblCellMar>
            <w:top w:w="0" w:type="dxa"/>
            <w:left w:w="108" w:type="dxa"/>
            <w:bottom w:w="0" w:type="dxa"/>
            <w:right w:w="108" w:type="dxa"/>
          </w:tblCellMar>
        </w:tblPrEx>
        <w:trPr>
          <w:trHeight w:val="425" w:hRule="atLeast"/>
        </w:trPr>
        <w:tc>
          <w:tcPr>
            <w:tcW w:w="1983" w:type="dxa"/>
            <w:gridSpan w:val="2"/>
            <w:tcBorders>
              <w:top w:val="single" w:color="FFFFFF" w:sz="8" w:space="0"/>
              <w:left w:val="single" w:color="FFFFFF" w:sz="8" w:space="0"/>
              <w:bottom w:val="single" w:color="FFFFFF" w:sz="8" w:space="0"/>
              <w:right w:val="single" w:color="FFFFFF" w:sz="8" w:space="0"/>
            </w:tcBorders>
            <w:shd w:val="clear" w:color="000000" w:fill="D0D8E8"/>
            <w:vAlign w:val="center"/>
          </w:tcPr>
          <w:p>
            <w:pPr>
              <w:pStyle w:val="30"/>
              <w:rPr>
                <w:color w:val="auto"/>
              </w:rPr>
            </w:pPr>
            <w:r>
              <w:rPr>
                <w:rFonts w:hint="eastAsia"/>
                <w:color w:val="auto"/>
              </w:rPr>
              <w:t>评价性抽检</w:t>
            </w:r>
          </w:p>
        </w:tc>
        <w:tc>
          <w:tcPr>
            <w:tcW w:w="1433" w:type="dxa"/>
            <w:tcBorders>
              <w:top w:val="single" w:color="FFFFFF" w:sz="8" w:space="0"/>
              <w:left w:val="single" w:color="FFFFFF" w:sz="8" w:space="0"/>
              <w:bottom w:val="single" w:color="FFFFFF" w:sz="8" w:space="0"/>
              <w:right w:val="single" w:color="FFFFFF" w:sz="8" w:space="0"/>
            </w:tcBorders>
            <w:shd w:val="clear" w:color="000000" w:fill="D0D8E8"/>
            <w:vAlign w:val="center"/>
          </w:tcPr>
          <w:p>
            <w:pPr>
              <w:pStyle w:val="30"/>
              <w:rPr>
                <w:color w:val="auto"/>
              </w:rPr>
            </w:pPr>
            <w:r>
              <w:rPr>
                <w:rFonts w:hint="eastAsia"/>
                <w:color w:val="auto"/>
              </w:rPr>
              <w:t>3999</w:t>
            </w:r>
          </w:p>
        </w:tc>
        <w:tc>
          <w:tcPr>
            <w:tcW w:w="1331" w:type="dxa"/>
            <w:tcBorders>
              <w:top w:val="single" w:color="FFFFFF" w:sz="8" w:space="0"/>
              <w:left w:val="single" w:color="FFFFFF" w:sz="8" w:space="0"/>
              <w:bottom w:val="single" w:color="FFFFFF" w:sz="8" w:space="0"/>
              <w:right w:val="single" w:color="FFFFFF" w:sz="8" w:space="0"/>
            </w:tcBorders>
            <w:shd w:val="clear" w:color="000000" w:fill="D0D8E8"/>
            <w:vAlign w:val="center"/>
          </w:tcPr>
          <w:p>
            <w:pPr>
              <w:pStyle w:val="30"/>
              <w:rPr>
                <w:color w:val="auto"/>
              </w:rPr>
            </w:pPr>
            <w:r>
              <w:rPr>
                <w:rFonts w:hint="eastAsia"/>
                <w:color w:val="auto"/>
              </w:rPr>
              <w:t>12500</w:t>
            </w:r>
          </w:p>
        </w:tc>
        <w:tc>
          <w:tcPr>
            <w:tcW w:w="1219" w:type="dxa"/>
            <w:tcBorders>
              <w:top w:val="single" w:color="FFFFFF" w:sz="8" w:space="0"/>
              <w:left w:val="single" w:color="FFFFFF" w:sz="8" w:space="0"/>
              <w:bottom w:val="single" w:color="FFFFFF" w:sz="8" w:space="0"/>
              <w:right w:val="single" w:color="FFFFFF" w:sz="8" w:space="0"/>
            </w:tcBorders>
            <w:shd w:val="clear" w:color="000000" w:fill="D0D8E8"/>
            <w:vAlign w:val="center"/>
          </w:tcPr>
          <w:p>
            <w:pPr>
              <w:pStyle w:val="30"/>
              <w:rPr>
                <w:color w:val="auto"/>
              </w:rPr>
            </w:pPr>
            <w:r>
              <w:rPr>
                <w:rFonts w:hint="eastAsia"/>
                <w:color w:val="auto"/>
              </w:rPr>
              <w:t>178</w:t>
            </w:r>
          </w:p>
        </w:tc>
        <w:tc>
          <w:tcPr>
            <w:tcW w:w="1593" w:type="dxa"/>
            <w:tcBorders>
              <w:top w:val="single" w:color="FFFFFF" w:sz="8" w:space="0"/>
              <w:left w:val="single" w:color="FFFFFF" w:sz="8" w:space="0"/>
              <w:bottom w:val="single" w:color="FFFFFF" w:sz="8" w:space="0"/>
              <w:right w:val="single" w:color="FFFFFF" w:sz="8" w:space="0"/>
            </w:tcBorders>
            <w:shd w:val="clear" w:color="000000" w:fill="D0D8E8"/>
            <w:vAlign w:val="center"/>
          </w:tcPr>
          <w:p>
            <w:pPr>
              <w:pStyle w:val="30"/>
              <w:rPr>
                <w:color w:val="auto"/>
              </w:rPr>
            </w:pPr>
            <w:r>
              <w:rPr>
                <w:rFonts w:hint="eastAsia"/>
                <w:color w:val="auto"/>
              </w:rPr>
              <w:t>/</w:t>
            </w:r>
          </w:p>
        </w:tc>
        <w:tc>
          <w:tcPr>
            <w:tcW w:w="1332" w:type="dxa"/>
            <w:tcBorders>
              <w:top w:val="single" w:color="FFFFFF" w:sz="8" w:space="0"/>
              <w:left w:val="single" w:color="FFFFFF" w:sz="8" w:space="0"/>
              <w:bottom w:val="single" w:color="FFFFFF" w:sz="8" w:space="0"/>
              <w:right w:val="single" w:color="FFFFFF" w:sz="8" w:space="0"/>
            </w:tcBorders>
            <w:shd w:val="clear" w:color="000000" w:fill="D0D8E8"/>
            <w:vAlign w:val="center"/>
          </w:tcPr>
          <w:p>
            <w:pPr>
              <w:pStyle w:val="30"/>
              <w:rPr>
                <w:color w:val="auto"/>
              </w:rPr>
            </w:pPr>
            <w:r>
              <w:rPr>
                <w:rFonts w:hint="eastAsia"/>
                <w:color w:val="auto"/>
              </w:rPr>
              <w:t>98.6</w:t>
            </w:r>
          </w:p>
        </w:tc>
      </w:tr>
      <w:tr>
        <w:tblPrEx>
          <w:tblLayout w:type="fixed"/>
          <w:tblCellMar>
            <w:top w:w="0" w:type="dxa"/>
            <w:left w:w="108" w:type="dxa"/>
            <w:bottom w:w="0" w:type="dxa"/>
            <w:right w:w="108" w:type="dxa"/>
          </w:tblCellMar>
        </w:tblPrEx>
        <w:trPr>
          <w:trHeight w:val="425" w:hRule="atLeast"/>
        </w:trPr>
        <w:tc>
          <w:tcPr>
            <w:tcW w:w="1983" w:type="dxa"/>
            <w:gridSpan w:val="2"/>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食品相关产品</w:t>
            </w:r>
          </w:p>
        </w:tc>
        <w:tc>
          <w:tcPr>
            <w:tcW w:w="1433"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256</w:t>
            </w:r>
          </w:p>
        </w:tc>
        <w:tc>
          <w:tcPr>
            <w:tcW w:w="1331"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1174</w:t>
            </w:r>
          </w:p>
        </w:tc>
        <w:tc>
          <w:tcPr>
            <w:tcW w:w="1219"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2</w:t>
            </w:r>
          </w:p>
        </w:tc>
        <w:tc>
          <w:tcPr>
            <w:tcW w:w="1593"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0.17</w:t>
            </w:r>
          </w:p>
        </w:tc>
        <w:tc>
          <w:tcPr>
            <w:tcW w:w="1332"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w:t>
            </w:r>
          </w:p>
        </w:tc>
      </w:tr>
      <w:tr>
        <w:tblPrEx>
          <w:tblLayout w:type="fixed"/>
          <w:tblCellMar>
            <w:top w:w="0" w:type="dxa"/>
            <w:left w:w="108" w:type="dxa"/>
            <w:bottom w:w="0" w:type="dxa"/>
            <w:right w:w="108" w:type="dxa"/>
          </w:tblCellMar>
        </w:tblPrEx>
        <w:trPr>
          <w:trHeight w:val="425" w:hRule="atLeast"/>
        </w:trPr>
        <w:tc>
          <w:tcPr>
            <w:tcW w:w="1983" w:type="dxa"/>
            <w:gridSpan w:val="2"/>
            <w:tcBorders>
              <w:top w:val="single" w:color="FFFFFF" w:sz="8" w:space="0"/>
              <w:left w:val="single" w:color="FFFFFF" w:sz="8" w:space="0"/>
              <w:bottom w:val="single" w:color="FFFFFF" w:sz="8" w:space="0"/>
              <w:right w:val="single" w:color="FFFFFF" w:sz="8" w:space="0"/>
            </w:tcBorders>
            <w:shd w:val="clear" w:color="000000" w:fill="E9EDF4"/>
            <w:vAlign w:val="center"/>
          </w:tcPr>
          <w:p>
            <w:pPr>
              <w:pStyle w:val="30"/>
              <w:rPr>
                <w:color w:val="auto"/>
              </w:rPr>
            </w:pPr>
            <w:r>
              <w:rPr>
                <w:rFonts w:hint="eastAsia"/>
                <w:color w:val="auto"/>
              </w:rPr>
              <w:t>合计</w:t>
            </w:r>
          </w:p>
        </w:tc>
        <w:tc>
          <w:tcPr>
            <w:tcW w:w="1433" w:type="dxa"/>
            <w:tcBorders>
              <w:top w:val="single" w:color="FFFFFF" w:sz="8" w:space="0"/>
              <w:left w:val="single" w:color="FFFFFF" w:sz="8" w:space="0"/>
              <w:bottom w:val="single" w:color="FFFFFF" w:sz="8" w:space="0"/>
              <w:right w:val="single" w:color="FFFFFF" w:sz="8" w:space="0"/>
            </w:tcBorders>
            <w:shd w:val="clear" w:color="000000" w:fill="E9EDF4"/>
            <w:vAlign w:val="center"/>
          </w:tcPr>
          <w:p>
            <w:pPr>
              <w:pStyle w:val="30"/>
              <w:rPr>
                <w:color w:val="auto"/>
              </w:rPr>
            </w:pPr>
            <w:r>
              <w:rPr>
                <w:rFonts w:hint="eastAsia"/>
                <w:color w:val="auto"/>
              </w:rPr>
              <w:t>32282</w:t>
            </w:r>
          </w:p>
        </w:tc>
        <w:tc>
          <w:tcPr>
            <w:tcW w:w="1331" w:type="dxa"/>
            <w:tcBorders>
              <w:top w:val="single" w:color="FFFFFF" w:sz="8" w:space="0"/>
              <w:left w:val="single" w:color="FFFFFF" w:sz="8" w:space="0"/>
              <w:bottom w:val="single" w:color="FFFFFF" w:sz="8" w:space="0"/>
              <w:right w:val="single" w:color="FFFFFF" w:sz="8" w:space="0"/>
            </w:tcBorders>
            <w:shd w:val="clear" w:color="000000" w:fill="E9EDF4"/>
            <w:vAlign w:val="center"/>
          </w:tcPr>
          <w:p>
            <w:pPr>
              <w:pStyle w:val="30"/>
              <w:rPr>
                <w:color w:val="auto"/>
              </w:rPr>
            </w:pPr>
            <w:r>
              <w:rPr>
                <w:rFonts w:hint="eastAsia"/>
                <w:color w:val="auto"/>
              </w:rPr>
              <w:t>69065</w:t>
            </w:r>
          </w:p>
        </w:tc>
        <w:tc>
          <w:tcPr>
            <w:tcW w:w="1219" w:type="dxa"/>
            <w:tcBorders>
              <w:top w:val="single" w:color="FFFFFF" w:sz="8" w:space="0"/>
              <w:left w:val="single" w:color="FFFFFF" w:sz="8" w:space="0"/>
              <w:bottom w:val="single" w:color="FFFFFF" w:sz="8" w:space="0"/>
              <w:right w:val="single" w:color="FFFFFF" w:sz="8" w:space="0"/>
            </w:tcBorders>
            <w:shd w:val="clear" w:color="000000" w:fill="E9EDF4"/>
            <w:vAlign w:val="center"/>
          </w:tcPr>
          <w:p>
            <w:pPr>
              <w:pStyle w:val="30"/>
              <w:rPr>
                <w:color w:val="auto"/>
              </w:rPr>
            </w:pPr>
            <w:r>
              <w:rPr>
                <w:rFonts w:hint="eastAsia"/>
                <w:color w:val="auto"/>
              </w:rPr>
              <w:t>910</w:t>
            </w:r>
          </w:p>
        </w:tc>
        <w:tc>
          <w:tcPr>
            <w:tcW w:w="1593" w:type="dxa"/>
            <w:tcBorders>
              <w:top w:val="single" w:color="FFFFFF" w:sz="8" w:space="0"/>
              <w:left w:val="single" w:color="FFFFFF" w:sz="8" w:space="0"/>
              <w:bottom w:val="single" w:color="FFFFFF" w:sz="8" w:space="0"/>
              <w:right w:val="single" w:color="FFFFFF" w:sz="8" w:space="0"/>
            </w:tcBorders>
            <w:shd w:val="clear" w:color="000000" w:fill="E9EDF4"/>
            <w:vAlign w:val="center"/>
          </w:tcPr>
          <w:p>
            <w:pPr>
              <w:pStyle w:val="30"/>
              <w:rPr>
                <w:color w:val="auto"/>
              </w:rPr>
            </w:pPr>
            <w:r>
              <w:rPr>
                <w:rFonts w:hint="eastAsia"/>
                <w:color w:val="auto"/>
              </w:rPr>
              <w:t>1.32</w:t>
            </w:r>
          </w:p>
        </w:tc>
        <w:tc>
          <w:tcPr>
            <w:tcW w:w="1332" w:type="dxa"/>
            <w:tcBorders>
              <w:top w:val="single" w:color="FFFFFF" w:sz="8" w:space="0"/>
              <w:left w:val="single" w:color="FFFFFF" w:sz="8" w:space="0"/>
              <w:bottom w:val="single" w:color="FFFFFF" w:sz="8" w:space="0"/>
              <w:right w:val="single" w:color="FFFFFF" w:sz="8" w:space="0"/>
            </w:tcBorders>
            <w:shd w:val="clear" w:color="000000" w:fill="E9EDF4"/>
            <w:vAlign w:val="center"/>
          </w:tcPr>
          <w:p>
            <w:pPr>
              <w:pStyle w:val="30"/>
              <w:rPr>
                <w:color w:val="auto"/>
              </w:rPr>
            </w:pPr>
            <w:r>
              <w:rPr>
                <w:rFonts w:hint="eastAsia"/>
                <w:color w:val="auto"/>
              </w:rPr>
              <w:t>/</w:t>
            </w:r>
          </w:p>
        </w:tc>
      </w:tr>
      <w:bookmarkEnd w:id="40"/>
    </w:tbl>
    <w:p>
      <w:pPr>
        <w:pStyle w:val="31"/>
        <w:ind w:firstLine="480"/>
        <w:rPr>
          <w:color w:val="auto"/>
        </w:rPr>
      </w:pPr>
      <w:r>
        <w:rPr>
          <w:rFonts w:hint="eastAsia"/>
          <w:color w:val="auto"/>
        </w:rPr>
        <w:t>注：1.监督抽检以问题为导向，采用问题发现率作为效果指标；2.评价性抽检客观评价地区食品安全水平，以合格率作为效果指标；3.问题批次包括不合格批次及监测问题批次。不合格批次为有标准判定的监督抽检检出的不合格食品，监测问题批次为无标准判定的监测抽检检出的问题食品；4.问题发现率=（不合格批次+监测问题样品批次）/总抽检批次。</w:t>
      </w:r>
    </w:p>
    <w:p>
      <w:pPr>
        <w:rPr>
          <w:color w:val="auto"/>
        </w:rPr>
      </w:pPr>
    </w:p>
    <w:p>
      <w:pPr>
        <w:widowControl/>
        <w:jc w:val="left"/>
        <w:rPr>
          <w:rFonts w:ascii="宋体" w:hAnsi="宋体" w:cs="宋体"/>
          <w:color w:val="auto"/>
          <w:kern w:val="0"/>
          <w:sz w:val="24"/>
          <w:szCs w:val="24"/>
        </w:rPr>
      </w:pPr>
      <w:r>
        <w:rPr>
          <w:color w:val="auto"/>
        </w:rPr>
        <w:drawing>
          <wp:inline distT="0" distB="0" distL="114300" distR="114300">
            <wp:extent cx="5847715" cy="3238500"/>
            <wp:effectExtent l="0" t="0" r="635" b="0"/>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widowControl/>
        <w:jc w:val="center"/>
        <w:rPr>
          <w:color w:val="auto"/>
        </w:rPr>
      </w:pPr>
    </w:p>
    <w:p>
      <w:pPr>
        <w:pStyle w:val="28"/>
        <w:spacing w:before="120" w:after="120"/>
        <w:rPr>
          <w:color w:val="auto"/>
        </w:rPr>
      </w:pPr>
      <w:r>
        <w:rPr>
          <w:rFonts w:hint="eastAsia"/>
          <w:color w:val="auto"/>
        </w:rPr>
        <w:t>图</w:t>
      </w:r>
      <w:r>
        <w:rPr>
          <w:color w:val="auto"/>
        </w:rPr>
        <w:t>1-1</w:t>
      </w:r>
      <w:r>
        <w:rPr>
          <w:rFonts w:hint="eastAsia"/>
          <w:color w:val="auto"/>
        </w:rPr>
        <w:t xml:space="preserve">  食品及食品相关产品各环节抽检批次</w:t>
      </w:r>
    </w:p>
    <w:p>
      <w:pPr>
        <w:pStyle w:val="28"/>
        <w:spacing w:before="120" w:after="120"/>
        <w:jc w:val="both"/>
        <w:rPr>
          <w:color w:val="auto"/>
        </w:rPr>
      </w:pPr>
      <w:r>
        <w:rPr>
          <w:color w:val="auto"/>
        </w:rPr>
        <w:drawing>
          <wp:inline distT="0" distB="0" distL="114300" distR="114300">
            <wp:extent cx="14063345" cy="8439150"/>
            <wp:effectExtent l="0" t="0" r="14605" b="0"/>
            <wp:docPr id="22" name="图片 2"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1111"/>
                    <pic:cNvPicPr>
                      <a:picLocks noChangeAspect="1"/>
                    </pic:cNvPicPr>
                  </pic:nvPicPr>
                  <pic:blipFill>
                    <a:blip r:embed="rId7"/>
                    <a:stretch>
                      <a:fillRect/>
                    </a:stretch>
                  </pic:blipFill>
                  <pic:spPr>
                    <a:xfrm>
                      <a:off x="0" y="0"/>
                      <a:ext cx="14063345" cy="8439150"/>
                    </a:xfrm>
                    <a:prstGeom prst="rect">
                      <a:avLst/>
                    </a:prstGeom>
                    <a:noFill/>
                    <a:ln>
                      <a:noFill/>
                    </a:ln>
                  </pic:spPr>
                </pic:pic>
              </a:graphicData>
            </a:graphic>
          </wp:inline>
        </w:drawing>
      </w:r>
    </w:p>
    <w:p>
      <w:pPr>
        <w:widowControl/>
        <w:jc w:val="left"/>
        <w:rPr>
          <w:rFonts w:ascii="宋体" w:hAnsi="宋体" w:cs="宋体"/>
          <w:color w:val="auto"/>
          <w:kern w:val="0"/>
          <w:sz w:val="24"/>
          <w:szCs w:val="24"/>
        </w:rPr>
      </w:pPr>
      <w:r>
        <w:rPr>
          <w:rFonts w:hint="eastAsia" w:ascii="宋体" w:hAnsi="宋体" w:cs="宋体"/>
          <w:color w:val="auto"/>
          <w:kern w:val="0"/>
          <w:sz w:val="24"/>
          <w:szCs w:val="24"/>
        </w:rPr>
        <w:drawing>
          <wp:inline distT="0" distB="0" distL="114300" distR="114300">
            <wp:extent cx="5688330" cy="3413760"/>
            <wp:effectExtent l="0" t="0" r="7620" b="15240"/>
            <wp:docPr id="63" name="图片 63" descr="深圳色块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深圳色块地图"/>
                    <pic:cNvPicPr>
                      <a:picLocks noChangeAspect="1"/>
                    </pic:cNvPicPr>
                  </pic:nvPicPr>
                  <pic:blipFill>
                    <a:blip r:embed="rId8"/>
                    <a:stretch>
                      <a:fillRect/>
                    </a:stretch>
                  </pic:blipFill>
                  <pic:spPr>
                    <a:xfrm>
                      <a:off x="0" y="0"/>
                      <a:ext cx="5688330" cy="3413760"/>
                    </a:xfrm>
                    <a:prstGeom prst="rect">
                      <a:avLst/>
                    </a:prstGeom>
                  </pic:spPr>
                </pic:pic>
              </a:graphicData>
            </a:graphic>
          </wp:inline>
        </w:drawing>
      </w:r>
    </w:p>
    <w:p>
      <w:pPr>
        <w:pStyle w:val="28"/>
        <w:spacing w:after="120"/>
        <w:rPr>
          <w:color w:val="auto"/>
        </w:rPr>
      </w:pPr>
      <w:r>
        <w:rPr>
          <w:rFonts w:hint="eastAsia"/>
          <w:color w:val="auto"/>
        </w:rPr>
        <w:t>图1</w:t>
      </w:r>
      <w:r>
        <w:rPr>
          <w:color w:val="auto"/>
        </w:rPr>
        <w:t>-2</w:t>
      </w:r>
      <w:r>
        <w:rPr>
          <w:rFonts w:hint="eastAsia"/>
          <w:color w:val="auto"/>
        </w:rPr>
        <w:t xml:space="preserve">  食品及食品相关产品各区抽检批次</w:t>
      </w:r>
      <w:bookmarkEnd w:id="31"/>
      <w:bookmarkEnd w:id="32"/>
      <w:bookmarkStart w:id="41" w:name="_Toc17055"/>
      <w:bookmarkStart w:id="42" w:name="_Toc7647"/>
      <w:bookmarkStart w:id="43" w:name="_Toc8400818"/>
      <w:bookmarkStart w:id="44" w:name="_Toc535483862"/>
      <w:bookmarkStart w:id="45" w:name="_Toc8401618"/>
      <w:bookmarkStart w:id="46" w:name="_Toc8400647"/>
    </w:p>
    <w:p>
      <w:pPr>
        <w:pStyle w:val="4"/>
        <w:spacing w:before="360"/>
        <w:rPr>
          <w:color w:val="auto"/>
        </w:rPr>
      </w:pPr>
      <w:bookmarkStart w:id="47" w:name="_Toc438"/>
      <w:bookmarkStart w:id="48" w:name="_Toc42087553"/>
      <w:bookmarkStart w:id="49" w:name="_Toc27464"/>
      <w:bookmarkStart w:id="50" w:name="_Toc24304"/>
      <w:bookmarkStart w:id="51" w:name="_Toc31734"/>
      <w:bookmarkStart w:id="52" w:name="_Toc15737"/>
      <w:bookmarkStart w:id="53" w:name="_Toc5245"/>
      <w:bookmarkStart w:id="54" w:name="_Toc22897"/>
      <w:bookmarkStart w:id="55" w:name="_Toc29715"/>
      <w:bookmarkStart w:id="56" w:name="_Toc42087554"/>
      <w:bookmarkStart w:id="57" w:name="_Toc15446"/>
      <w:bookmarkStart w:id="58" w:name="_Toc22780"/>
      <w:bookmarkStart w:id="59" w:name="_Toc296"/>
      <w:r>
        <w:rPr>
          <w:rFonts w:hint="eastAsia"/>
          <w:color w:val="auto"/>
        </w:rPr>
        <w:t>二、</w:t>
      </w:r>
      <w:r>
        <w:rPr>
          <w:rFonts w:hint="eastAsia"/>
          <w:color w:val="auto"/>
          <w:lang w:eastAsia="zh-CN"/>
        </w:rPr>
        <w:t>各类型抽检</w:t>
      </w:r>
      <w:r>
        <w:rPr>
          <w:rFonts w:hint="eastAsia"/>
          <w:color w:val="auto"/>
        </w:rPr>
        <w:t>具体情况</w:t>
      </w:r>
      <w:bookmarkEnd w:id="47"/>
      <w:bookmarkEnd w:id="48"/>
      <w:bookmarkEnd w:id="49"/>
      <w:bookmarkEnd w:id="50"/>
      <w:bookmarkEnd w:id="51"/>
    </w:p>
    <w:p>
      <w:pPr>
        <w:pStyle w:val="5"/>
        <w:spacing w:before="240" w:after="120"/>
        <w:ind w:firstLine="643" w:firstLineChars="200"/>
        <w:rPr>
          <w:rFonts w:hint="eastAsia" w:ascii="仿宋_GB2312" w:hAnsi="仿宋_GB2312" w:eastAsia="仿宋_GB2312" w:cs="仿宋_GB2312"/>
          <w:b/>
          <w:bCs w:val="0"/>
          <w:color w:val="auto"/>
        </w:rPr>
      </w:pPr>
      <w:r>
        <w:rPr>
          <w:rFonts w:hint="eastAsia" w:ascii="仿宋_GB2312" w:hAnsi="仿宋_GB2312" w:eastAsia="仿宋_GB2312" w:cs="仿宋_GB2312"/>
          <w:b/>
          <w:bCs w:val="0"/>
          <w:color w:val="auto"/>
        </w:rPr>
        <w:t>（一）食品日常监督抽检情况</w:t>
      </w:r>
      <w:bookmarkEnd w:id="52"/>
      <w:bookmarkEnd w:id="53"/>
      <w:bookmarkEnd w:id="54"/>
      <w:bookmarkEnd w:id="55"/>
      <w:bookmarkEnd w:id="56"/>
    </w:p>
    <w:p>
      <w:pPr>
        <w:pStyle w:val="25"/>
        <w:ind w:firstLine="640"/>
        <w:rPr>
          <w:color w:val="auto"/>
        </w:rPr>
      </w:pPr>
      <w:r>
        <w:rPr>
          <w:rStyle w:val="27"/>
          <w:rFonts w:hint="eastAsia"/>
          <w:color w:val="auto"/>
        </w:rPr>
        <w:t>2019年共完成33大类食品36387批次监督抽检，检出问题样品330批次，涉及25个食品类别，总体问题发现率为0.91%，比2018年降低0.32个百分点。</w:t>
      </w:r>
      <w:r>
        <w:rPr>
          <w:rStyle w:val="27"/>
          <w:rFonts w:hint="eastAsia"/>
          <w:b/>
          <w:bCs/>
          <w:color w:val="auto"/>
        </w:rPr>
        <w:t>从食品类别看</w:t>
      </w:r>
      <w:r>
        <w:rPr>
          <w:rStyle w:val="27"/>
          <w:rFonts w:hint="eastAsia"/>
          <w:color w:val="auto"/>
        </w:rPr>
        <w:t>，特殊膳食食品、其他食品、蜂产品、冷冻饮品、炒货食品及坚果制品、蔬菜制品、食用农产品、水产制品、水果制品、淀粉及淀粉制品、薯类和膨化食品、酒类、肉制品、食糖、饮料等15类食品的问题发现率高于总体水平。</w:t>
      </w:r>
      <w:r>
        <w:rPr>
          <w:rStyle w:val="27"/>
          <w:rFonts w:hint="eastAsia"/>
          <w:b/>
          <w:bCs/>
          <w:color w:val="auto"/>
        </w:rPr>
        <w:t>从行政区域看</w:t>
      </w:r>
      <w:r>
        <w:rPr>
          <w:rStyle w:val="27"/>
          <w:rFonts w:hint="eastAsia"/>
          <w:color w:val="auto"/>
        </w:rPr>
        <w:t>，2</w:t>
      </w:r>
      <w:r>
        <w:rPr>
          <w:rStyle w:val="27"/>
          <w:color w:val="auto"/>
        </w:rPr>
        <w:t>019</w:t>
      </w:r>
      <w:r>
        <w:rPr>
          <w:rStyle w:val="27"/>
          <w:rFonts w:hint="eastAsia"/>
          <w:color w:val="auto"/>
        </w:rPr>
        <w:t>年我市</w:t>
      </w:r>
      <w:r>
        <w:rPr>
          <w:rStyle w:val="27"/>
          <w:color w:val="auto"/>
        </w:rPr>
        <w:t>11</w:t>
      </w:r>
      <w:r>
        <w:rPr>
          <w:rStyle w:val="27"/>
          <w:rFonts w:hint="eastAsia"/>
          <w:color w:val="auto"/>
        </w:rPr>
        <w:t>个行政区域抽检问题发现率在0</w:t>
      </w:r>
      <w:r>
        <w:rPr>
          <w:rStyle w:val="27"/>
          <w:color w:val="auto"/>
        </w:rPr>
        <w:t>.00</w:t>
      </w:r>
      <w:r>
        <w:rPr>
          <w:rStyle w:val="27"/>
          <w:rFonts w:hint="eastAsia"/>
          <w:color w:val="auto"/>
        </w:rPr>
        <w:t>%～</w:t>
      </w:r>
      <w:r>
        <w:rPr>
          <w:rStyle w:val="27"/>
          <w:color w:val="auto"/>
        </w:rPr>
        <w:t>1.06</w:t>
      </w:r>
      <w:r>
        <w:rPr>
          <w:rStyle w:val="27"/>
          <w:rFonts w:hint="eastAsia"/>
          <w:color w:val="auto"/>
        </w:rPr>
        <w:t>%之间，其中龙岗区、宝安区、南山区问题发现率高于总体水平（0</w:t>
      </w:r>
      <w:r>
        <w:rPr>
          <w:rStyle w:val="27"/>
          <w:color w:val="auto"/>
        </w:rPr>
        <w:t>.91</w:t>
      </w:r>
      <w:r>
        <w:rPr>
          <w:rStyle w:val="27"/>
          <w:rFonts w:hint="eastAsia"/>
          <w:color w:val="auto"/>
        </w:rPr>
        <w:t>%）。</w:t>
      </w:r>
      <w:r>
        <w:rPr>
          <w:rStyle w:val="27"/>
          <w:rFonts w:hint="eastAsia"/>
          <w:b/>
          <w:bCs/>
          <w:color w:val="auto"/>
        </w:rPr>
        <w:t>从抽样环节看</w:t>
      </w:r>
      <w:r>
        <w:rPr>
          <w:rStyle w:val="27"/>
          <w:rFonts w:hint="eastAsia"/>
          <w:color w:val="auto"/>
        </w:rPr>
        <w:t>，生产环节、流通环节和餐饮环节的问题发现率分别为0.95%、0.88%和</w:t>
      </w:r>
      <w:r>
        <w:rPr>
          <w:rFonts w:hint="eastAsia"/>
          <w:color w:val="auto"/>
        </w:rPr>
        <w:t>0.92%。</w:t>
      </w:r>
      <w:bookmarkEnd w:id="57"/>
      <w:bookmarkEnd w:id="58"/>
      <w:bookmarkEnd w:id="59"/>
      <w:r>
        <w:rPr>
          <w:rFonts w:hint="eastAsia"/>
          <w:b/>
          <w:bCs/>
          <w:color w:val="auto"/>
        </w:rPr>
        <w:t>从检验项目看</w:t>
      </w:r>
      <w:r>
        <w:rPr>
          <w:rFonts w:hint="eastAsia"/>
          <w:color w:val="auto"/>
        </w:rPr>
        <w:t>，2</w:t>
      </w:r>
      <w:r>
        <w:rPr>
          <w:color w:val="auto"/>
        </w:rPr>
        <w:t>019</w:t>
      </w:r>
      <w:r>
        <w:rPr>
          <w:rFonts w:hint="eastAsia"/>
          <w:color w:val="auto"/>
        </w:rPr>
        <w:t>年食品日常监督抽检共涉及8类问题，问题项目类别主要有食品添加剂、兽药残留、品质指标、微生物污染、金属等元素污染物、非食用物质、农药残留、生物毒素。从问题项目类别的分布来看，超范围、超限量使用食品添加剂是首要问题因素，占比为</w:t>
      </w:r>
      <w:r>
        <w:rPr>
          <w:color w:val="auto"/>
        </w:rPr>
        <w:t>33.05</w:t>
      </w:r>
      <w:r>
        <w:rPr>
          <w:rFonts w:hint="eastAsia"/>
          <w:color w:val="auto"/>
        </w:rPr>
        <w:t>%，涉及1</w:t>
      </w:r>
      <w:r>
        <w:rPr>
          <w:color w:val="auto"/>
        </w:rPr>
        <w:t>5</w:t>
      </w:r>
      <w:r>
        <w:rPr>
          <w:rFonts w:hint="eastAsia"/>
          <w:color w:val="auto"/>
        </w:rPr>
        <w:t>大类食品2</w:t>
      </w:r>
      <w:r>
        <w:rPr>
          <w:color w:val="auto"/>
        </w:rPr>
        <w:t>5</w:t>
      </w:r>
      <w:r>
        <w:rPr>
          <w:rFonts w:hint="eastAsia"/>
          <w:color w:val="auto"/>
        </w:rPr>
        <w:t>细类食品；其次是兽药残留，占比为</w:t>
      </w:r>
      <w:r>
        <w:rPr>
          <w:color w:val="auto"/>
        </w:rPr>
        <w:t>20.11</w:t>
      </w:r>
      <w:r>
        <w:rPr>
          <w:rFonts w:hint="eastAsia"/>
          <w:color w:val="auto"/>
        </w:rPr>
        <w:t>%；再次是品质指标和微生物污染，占比均为1</w:t>
      </w:r>
      <w:r>
        <w:rPr>
          <w:color w:val="auto"/>
        </w:rPr>
        <w:t>3.79</w:t>
      </w:r>
      <w:r>
        <w:rPr>
          <w:rFonts w:hint="eastAsia"/>
          <w:color w:val="auto"/>
        </w:rPr>
        <w:t>%；最后为金属等元素污染物、非食用物质、农药残留和生物毒素，占比分别为</w:t>
      </w:r>
      <w:r>
        <w:rPr>
          <w:color w:val="auto"/>
        </w:rPr>
        <w:t>8.62</w:t>
      </w:r>
      <w:r>
        <w:rPr>
          <w:rFonts w:hint="eastAsia"/>
          <w:color w:val="auto"/>
        </w:rPr>
        <w:t>%、5</w:t>
      </w:r>
      <w:r>
        <w:rPr>
          <w:color w:val="auto"/>
        </w:rPr>
        <w:t>.17</w:t>
      </w:r>
      <w:r>
        <w:rPr>
          <w:rFonts w:hint="eastAsia"/>
          <w:color w:val="auto"/>
        </w:rPr>
        <w:t>%、3</w:t>
      </w:r>
      <w:r>
        <w:rPr>
          <w:color w:val="auto"/>
        </w:rPr>
        <w:t>.74</w:t>
      </w:r>
      <w:r>
        <w:rPr>
          <w:rFonts w:hint="eastAsia"/>
          <w:color w:val="auto"/>
        </w:rPr>
        <w:t>%和</w:t>
      </w:r>
      <w:r>
        <w:rPr>
          <w:color w:val="auto"/>
        </w:rPr>
        <w:t>1.72</w:t>
      </w:r>
      <w:r>
        <w:rPr>
          <w:rFonts w:hint="eastAsia"/>
          <w:color w:val="auto"/>
        </w:rPr>
        <w:t>%。</w:t>
      </w:r>
    </w:p>
    <w:p>
      <w:pPr>
        <w:pStyle w:val="5"/>
        <w:spacing w:before="240" w:after="120"/>
        <w:ind w:firstLine="643" w:firstLineChars="200"/>
        <w:rPr>
          <w:rFonts w:hint="eastAsia" w:ascii="仿宋_GB2312" w:hAnsi="仿宋_GB2312" w:eastAsia="仿宋_GB2312" w:cs="仿宋_GB2312"/>
          <w:b/>
          <w:bCs w:val="0"/>
          <w:color w:val="auto"/>
        </w:rPr>
      </w:pPr>
      <w:bookmarkStart w:id="60" w:name="_Toc29598"/>
      <w:bookmarkStart w:id="61" w:name="_Toc18923"/>
      <w:bookmarkStart w:id="62" w:name="_Toc42087555"/>
      <w:bookmarkStart w:id="63" w:name="_Toc32563"/>
      <w:bookmarkStart w:id="64" w:name="_Toc32702"/>
      <w:r>
        <w:rPr>
          <w:rFonts w:hint="eastAsia" w:ascii="仿宋_GB2312" w:hAnsi="仿宋_GB2312" w:eastAsia="仿宋_GB2312" w:cs="仿宋_GB2312"/>
          <w:b/>
          <w:bCs w:val="0"/>
          <w:color w:val="auto"/>
        </w:rPr>
        <w:t>（二）食品专项监督抽检情况</w:t>
      </w:r>
      <w:bookmarkEnd w:id="60"/>
      <w:bookmarkEnd w:id="61"/>
      <w:bookmarkEnd w:id="62"/>
      <w:bookmarkEnd w:id="63"/>
      <w:bookmarkEnd w:id="64"/>
    </w:p>
    <w:p>
      <w:pPr>
        <w:pStyle w:val="25"/>
        <w:ind w:firstLine="640"/>
        <w:rPr>
          <w:color w:val="auto"/>
        </w:rPr>
      </w:pPr>
      <w:r>
        <w:rPr>
          <w:rFonts w:hint="eastAsia"/>
          <w:color w:val="auto"/>
        </w:rPr>
        <w:t>专项监督抽检以问题为导向，2019年，在日常监督抽检的基础上，针对舆情、热点、突出问题等共下达专项抽检任务77个，如针对舆情的湿米粉中米酵菌酸的监测抽检任务、针对应节食品的粽子、月饼专项抽检等，组织抽检8277家/户食品生产经营单位的食品共16297批次，发现不合格及监测问题样品267批次，专项监督抽检问题发现率为1.64%。</w:t>
      </w:r>
    </w:p>
    <w:p>
      <w:pPr>
        <w:pStyle w:val="5"/>
        <w:spacing w:before="240" w:after="120"/>
        <w:ind w:firstLine="643" w:firstLineChars="200"/>
        <w:rPr>
          <w:rFonts w:hint="eastAsia" w:ascii="仿宋_GB2312" w:hAnsi="仿宋_GB2312" w:eastAsia="仿宋_GB2312" w:cs="仿宋_GB2312"/>
          <w:b/>
          <w:bCs w:val="0"/>
          <w:color w:val="auto"/>
        </w:rPr>
      </w:pPr>
      <w:bookmarkStart w:id="65" w:name="_Toc29631"/>
      <w:bookmarkStart w:id="66" w:name="_Toc42087556"/>
      <w:bookmarkStart w:id="67" w:name="_Toc15466"/>
      <w:bookmarkStart w:id="68" w:name="_Toc9079"/>
      <w:bookmarkStart w:id="69" w:name="_Toc15956"/>
      <w:r>
        <w:rPr>
          <w:rFonts w:hint="eastAsia" w:ascii="仿宋_GB2312" w:hAnsi="仿宋_GB2312" w:eastAsia="仿宋_GB2312" w:cs="仿宋_GB2312"/>
          <w:b/>
          <w:bCs w:val="0"/>
          <w:color w:val="auto"/>
        </w:rPr>
        <w:t>（三）食品执法监督抽检情况</w:t>
      </w:r>
      <w:bookmarkEnd w:id="65"/>
      <w:bookmarkEnd w:id="66"/>
      <w:bookmarkEnd w:id="67"/>
      <w:bookmarkEnd w:id="68"/>
      <w:bookmarkEnd w:id="69"/>
    </w:p>
    <w:p>
      <w:pPr>
        <w:pStyle w:val="25"/>
        <w:ind w:firstLine="640"/>
        <w:rPr>
          <w:color w:val="auto"/>
        </w:rPr>
      </w:pPr>
      <w:r>
        <w:rPr>
          <w:rFonts w:hint="eastAsia"/>
          <w:color w:val="auto"/>
        </w:rPr>
        <w:t>执法监督抽检为配合监管单位案件查办工作而开展的抽检，具有强靶向性。2019年，共下达执法监督抽检任务14个，如“</w:t>
      </w:r>
      <w:r>
        <w:rPr>
          <w:rFonts w:hint="eastAsia"/>
          <w:color w:val="auto"/>
          <w:lang w:eastAsia="zh-CN"/>
        </w:rPr>
        <w:t>星期</w:t>
      </w:r>
      <w:r>
        <w:rPr>
          <w:rFonts w:hint="eastAsia"/>
          <w:color w:val="auto"/>
        </w:rPr>
        <w:t>三查餐厅”“九号查酒”“飞行检查”等具有针对性的执法抽检任务，共组织抽检1350家/户食品生产经营单位的食品共2707批次，发现不合格及监测问题样品133批次，执法监督抽检问题发现率为4.91%。</w:t>
      </w:r>
    </w:p>
    <w:p>
      <w:pPr>
        <w:pStyle w:val="5"/>
        <w:spacing w:before="240" w:after="120"/>
        <w:ind w:firstLine="643" w:firstLineChars="200"/>
        <w:rPr>
          <w:rFonts w:hint="eastAsia" w:ascii="仿宋_GB2312" w:hAnsi="仿宋_GB2312" w:eastAsia="仿宋_GB2312" w:cs="仿宋_GB2312"/>
          <w:b/>
          <w:bCs w:val="0"/>
          <w:color w:val="auto"/>
        </w:rPr>
      </w:pPr>
      <w:bookmarkStart w:id="70" w:name="_Toc1661"/>
      <w:bookmarkStart w:id="71" w:name="_Toc11727"/>
      <w:bookmarkStart w:id="72" w:name="_Toc3983"/>
      <w:bookmarkStart w:id="73" w:name="_Toc259"/>
      <w:bookmarkStart w:id="74" w:name="_Toc42087557"/>
      <w:bookmarkStart w:id="75" w:name="_Toc16911"/>
      <w:bookmarkStart w:id="76" w:name="_Toc15791"/>
      <w:r>
        <w:rPr>
          <w:rFonts w:hint="eastAsia" w:ascii="仿宋_GB2312" w:hAnsi="仿宋_GB2312" w:eastAsia="仿宋_GB2312" w:cs="仿宋_GB2312"/>
          <w:b/>
          <w:bCs w:val="0"/>
          <w:color w:val="auto"/>
        </w:rPr>
        <w:t>（四）评价性检测抽检情况</w:t>
      </w:r>
      <w:bookmarkEnd w:id="70"/>
      <w:bookmarkEnd w:id="71"/>
      <w:bookmarkEnd w:id="72"/>
      <w:bookmarkEnd w:id="73"/>
      <w:bookmarkEnd w:id="74"/>
    </w:p>
    <w:p>
      <w:pPr>
        <w:pStyle w:val="25"/>
        <w:ind w:firstLine="640"/>
        <w:rPr>
          <w:color w:val="auto"/>
        </w:rPr>
      </w:pPr>
      <w:r>
        <w:rPr>
          <w:rFonts w:hint="eastAsia"/>
          <w:color w:val="auto"/>
        </w:rPr>
        <w:t>评价性抽检旨在客观评价地区食品的安全水平，本年度共开展12项评价性检测抽检专项任务，抽检覆盖全市十一个辖区及30大类食品。全年共组织抽检3999家/户食品生产经营单位的食品12500批次，检出合格样品12322批次，检出不合格样品178批次，不合格项目182项次，全年评价性抽检合格率为98.6%。其中生产环节共抽检20家/户食品生产单位的食品20批次，抽检合格率为100.0%；流通环节共抽检2246家/户食品经营单位的食品9919批次，抽检合格率为98.7%；餐饮环节共抽检1733家/户食品经营单位的食品2561批次，抽检合格率为98.2%。</w:t>
      </w:r>
    </w:p>
    <w:p>
      <w:pPr>
        <w:pStyle w:val="5"/>
        <w:spacing w:before="240" w:after="120"/>
        <w:ind w:firstLine="643" w:firstLineChars="200"/>
        <w:rPr>
          <w:rFonts w:hint="eastAsia" w:ascii="仿宋_GB2312" w:hAnsi="仿宋_GB2312" w:eastAsia="仿宋_GB2312" w:cs="仿宋_GB2312"/>
          <w:b/>
          <w:bCs w:val="0"/>
          <w:color w:val="auto"/>
        </w:rPr>
      </w:pPr>
      <w:bookmarkStart w:id="77" w:name="_Toc42087558"/>
      <w:bookmarkStart w:id="78" w:name="_Toc27498"/>
      <w:bookmarkStart w:id="79" w:name="_Toc31913"/>
      <w:r>
        <w:rPr>
          <w:rFonts w:hint="eastAsia" w:ascii="仿宋_GB2312" w:hAnsi="仿宋_GB2312" w:eastAsia="仿宋_GB2312" w:cs="仿宋_GB2312"/>
          <w:b/>
          <w:bCs w:val="0"/>
          <w:color w:val="auto"/>
        </w:rPr>
        <w:t>（五）食品相关产品监督抽检情况</w:t>
      </w:r>
      <w:bookmarkEnd w:id="75"/>
      <w:bookmarkEnd w:id="76"/>
      <w:bookmarkEnd w:id="77"/>
      <w:bookmarkEnd w:id="78"/>
      <w:bookmarkEnd w:id="79"/>
    </w:p>
    <w:p>
      <w:pPr>
        <w:pStyle w:val="25"/>
        <w:ind w:firstLine="640"/>
        <w:rPr>
          <w:color w:val="auto"/>
        </w:rPr>
      </w:pPr>
      <w:r>
        <w:rPr>
          <w:rFonts w:hint="eastAsia"/>
          <w:color w:val="auto"/>
        </w:rPr>
        <w:t>共抽检256家受检单位的1174批次食品相关产品，包括塑料包装材料、食品接触用复合材料及制品、食品接触用金属材料及制品、食品接触用玻璃制品、陶瓷制品、食品接触用橡胶材料及制品、奶嘴、食品接触用涂料及涂层制品、纸制包装材料、洗涤剂、消毒剂、一次性竹筷。本次监督抽查的合格产品为1172批次，问题发现率为0.17%。</w:t>
      </w:r>
    </w:p>
    <w:p>
      <w:pPr>
        <w:pStyle w:val="4"/>
        <w:spacing w:before="360"/>
        <w:ind w:firstLine="643" w:firstLineChars="200"/>
        <w:rPr>
          <w:color w:val="auto"/>
        </w:rPr>
      </w:pPr>
      <w:bookmarkStart w:id="80" w:name="_Toc24614993"/>
      <w:r>
        <w:rPr>
          <w:rFonts w:hint="eastAsia"/>
          <w:color w:val="auto"/>
          <w:lang w:eastAsia="zh-CN"/>
        </w:rPr>
        <w:t>三、</w:t>
      </w:r>
      <w:r>
        <w:rPr>
          <w:rFonts w:hint="eastAsia"/>
          <w:color w:val="auto"/>
        </w:rPr>
        <w:t>抽检工作的主要特点</w:t>
      </w:r>
    </w:p>
    <w:p>
      <w:pPr>
        <w:pStyle w:val="25"/>
        <w:ind w:firstLine="640"/>
        <w:rPr>
          <w:color w:val="auto"/>
        </w:rPr>
      </w:pPr>
      <w:r>
        <w:rPr>
          <w:rFonts w:hint="eastAsia"/>
          <w:color w:val="auto"/>
        </w:rPr>
        <w:t>本年度抽检工作具有以下主要特点：</w:t>
      </w:r>
    </w:p>
    <w:p>
      <w:pPr>
        <w:pStyle w:val="25"/>
        <w:ind w:firstLine="643"/>
        <w:rPr>
          <w:color w:val="auto"/>
        </w:rPr>
      </w:pPr>
      <w:r>
        <w:rPr>
          <w:rFonts w:hint="eastAsia"/>
          <w:b/>
          <w:bCs/>
          <w:color w:val="auto"/>
        </w:rPr>
        <w:t>一是统筹安排, 制定适当的监督抽检计划。</w:t>
      </w:r>
      <w:r>
        <w:rPr>
          <w:rFonts w:hint="eastAsia"/>
          <w:color w:val="auto"/>
        </w:rPr>
        <w:t>市场监管局加强各区各部门的沟通和交流，合理分工，全面统筹制定适当的监督抽检计划，使各级抽检形成有机整体，努力实现避免重复、全面覆盖的抽检目标，确保抽检监测经费用到实处，最大限度地发挥检测效益。</w:t>
      </w:r>
    </w:p>
    <w:p>
      <w:pPr>
        <w:spacing w:line="560" w:lineRule="exact"/>
        <w:ind w:firstLine="643" w:firstLineChars="200"/>
        <w:rPr>
          <w:rFonts w:eastAsia="仿宋"/>
          <w:color w:val="auto"/>
          <w:sz w:val="32"/>
        </w:rPr>
      </w:pPr>
      <w:r>
        <w:rPr>
          <w:rFonts w:hint="eastAsia" w:eastAsia="仿宋"/>
          <w:b/>
          <w:bCs/>
          <w:color w:val="auto"/>
          <w:sz w:val="32"/>
        </w:rPr>
        <w:t>二是以问题为导向，统领抽检监测工作。</w:t>
      </w:r>
      <w:r>
        <w:rPr>
          <w:rFonts w:hint="eastAsia" w:eastAsia="仿宋"/>
          <w:color w:val="auto"/>
          <w:sz w:val="32"/>
        </w:rPr>
        <w:t>积极主动发现风险，进一步改进工作方式，提高问题发现概率。在抽样方法、实施方案设计等方面，开拓创新，强化抽检监测的随机性、突击性和靶向性，提高发现问题的几率。加强食品集中交易市场、大型集体餐饮场所以及中小学校园及周边重点区域和场所的抽检监测力度。</w:t>
      </w:r>
    </w:p>
    <w:p>
      <w:pPr>
        <w:pStyle w:val="25"/>
        <w:ind w:firstLine="643"/>
        <w:rPr>
          <w:color w:val="auto"/>
        </w:rPr>
      </w:pPr>
      <w:r>
        <w:rPr>
          <w:rFonts w:hint="eastAsia"/>
          <w:b/>
          <w:bCs/>
          <w:color w:val="auto"/>
        </w:rPr>
        <w:t>三是提升食品全链条质量安全保障水平。</w:t>
      </w:r>
      <w:r>
        <w:rPr>
          <w:rFonts w:hint="eastAsia"/>
          <w:color w:val="auto"/>
        </w:rPr>
        <w:t>认真落实《中共中央 国务院关于深化改革加强食品安全工作的意见》(中发〔2019〕17号)，围绕人民群众普遍关心的突出问题，开展食品安全放心工程建设攻坚行动，推动提升食品全链条质量安全保障水平，不断提高人民群众获得感、幸福感、安全感。</w:t>
      </w:r>
    </w:p>
    <w:p>
      <w:pPr>
        <w:pStyle w:val="25"/>
        <w:ind w:firstLine="643"/>
        <w:rPr>
          <w:color w:val="auto"/>
        </w:rPr>
      </w:pPr>
      <w:r>
        <w:rPr>
          <w:rFonts w:hint="eastAsia"/>
          <w:b/>
          <w:bCs/>
          <w:color w:val="auto"/>
        </w:rPr>
        <w:t>四是充分发挥抽检大数据能效。</w:t>
      </w:r>
      <w:r>
        <w:rPr>
          <w:rFonts w:hint="eastAsia"/>
          <w:color w:val="auto"/>
        </w:rPr>
        <w:t>运用信息化手段进行大数据分析，</w:t>
      </w:r>
      <w:r>
        <w:rPr>
          <w:color w:val="auto"/>
        </w:rPr>
        <w:t>通过完善制度机制、深度分析挖掘、靶向指导监管等举措，不断凸显抽检“大数据”使用效能，</w:t>
      </w:r>
      <w:r>
        <w:rPr>
          <w:rFonts w:hint="eastAsia"/>
          <w:color w:val="auto"/>
        </w:rPr>
        <w:t>使监管人员对系统性、区域性风险得以了解把控，从而转化成监管工作参考依据，</w:t>
      </w:r>
      <w:r>
        <w:rPr>
          <w:color w:val="auto"/>
        </w:rPr>
        <w:t>为食品安全监管插上智慧翅膀。</w:t>
      </w:r>
    </w:p>
    <w:p>
      <w:pPr>
        <w:pStyle w:val="25"/>
        <w:ind w:firstLine="643"/>
        <w:rPr>
          <w:color w:val="auto"/>
        </w:rPr>
      </w:pPr>
      <w:r>
        <w:rPr>
          <w:rFonts w:hint="eastAsia"/>
          <w:b/>
          <w:bCs/>
          <w:color w:val="auto"/>
        </w:rPr>
        <w:t>五是建立常态化抽检结果的公布机制，构建社会共治格局。</w:t>
      </w:r>
      <w:r>
        <w:rPr>
          <w:rFonts w:hint="eastAsia"/>
          <w:color w:val="auto"/>
        </w:rPr>
        <w:t>进一步提高抽检监测工作的透明度，切实提升信息公开的“时、度、效”，通过结果的公布，向广大消费者传递食品安全信息，倒逼食品生产企业负起主体责任。同时，通过公布结果来倒逼基层监管部门落实监管责任，保障食品安全。</w:t>
      </w:r>
    </w:p>
    <w:p>
      <w:pPr>
        <w:pStyle w:val="4"/>
        <w:spacing w:before="360"/>
        <w:ind w:firstLine="643" w:firstLineChars="200"/>
        <w:rPr>
          <w:color w:val="auto"/>
        </w:rPr>
      </w:pPr>
      <w:r>
        <w:rPr>
          <w:rFonts w:hint="eastAsia" w:ascii="宋体" w:hAnsi="宋体"/>
          <w:color w:val="auto"/>
          <w:lang w:eastAsia="zh-CN"/>
        </w:rPr>
        <w:t>四、</w:t>
      </w:r>
      <w:r>
        <w:rPr>
          <w:rFonts w:hint="eastAsia" w:ascii="宋体" w:hAnsi="宋体"/>
          <w:color w:val="auto"/>
        </w:rPr>
        <w:t>深圳市食品抽检类型介绍</w:t>
      </w:r>
      <w:bookmarkEnd w:id="80"/>
    </w:p>
    <w:p>
      <w:pPr>
        <w:pStyle w:val="25"/>
        <w:ind w:firstLine="643"/>
        <w:rPr>
          <w:color w:val="auto"/>
          <w:highlight w:val="none"/>
        </w:rPr>
      </w:pPr>
      <w:r>
        <w:rPr>
          <w:rFonts w:hint="eastAsia"/>
          <w:b/>
          <w:bCs/>
          <w:color w:val="auto"/>
          <w:highlight w:val="none"/>
        </w:rPr>
        <w:t>日常监督抽检</w:t>
      </w:r>
      <w:r>
        <w:rPr>
          <w:rFonts w:hint="eastAsia"/>
          <w:color w:val="auto"/>
          <w:highlight w:val="none"/>
        </w:rPr>
        <w:t>：年度抽检计划的重要组成部分，对全品类食品进行覆盖式的抽检，以问题为导向，兼顾客观评价及靶向性要求，在生产、流通、餐饮三个环节对重点业态进行有效覆盖，对非重点业态进行比例覆盖，是对外公示合格率主要来源。抽检不合格食品全部开展后处理。</w:t>
      </w:r>
    </w:p>
    <w:p>
      <w:pPr>
        <w:pStyle w:val="25"/>
        <w:ind w:firstLine="643"/>
        <w:rPr>
          <w:color w:val="auto"/>
          <w:highlight w:val="none"/>
        </w:rPr>
      </w:pPr>
      <w:r>
        <w:rPr>
          <w:rFonts w:hint="eastAsia"/>
          <w:b/>
          <w:bCs/>
          <w:color w:val="auto"/>
          <w:highlight w:val="none"/>
        </w:rPr>
        <w:t>专项抽检</w:t>
      </w:r>
      <w:r>
        <w:rPr>
          <w:rFonts w:hint="eastAsia"/>
          <w:color w:val="auto"/>
          <w:highlight w:val="none"/>
        </w:rPr>
        <w:t>：在日常监督抽检的基础上，针对舆情应对、社会热点、突出问题领域、上级文件及监管需要针对某类食品或某类经营主体开展的抽检，具有较强的针对性。</w:t>
      </w:r>
    </w:p>
    <w:p>
      <w:pPr>
        <w:pStyle w:val="25"/>
        <w:ind w:firstLine="643"/>
        <w:rPr>
          <w:color w:val="auto"/>
          <w:highlight w:val="none"/>
        </w:rPr>
      </w:pPr>
      <w:r>
        <w:rPr>
          <w:rFonts w:hint="eastAsia"/>
          <w:b/>
          <w:bCs/>
          <w:color w:val="auto"/>
          <w:highlight w:val="none"/>
        </w:rPr>
        <w:t>执法抽检</w:t>
      </w:r>
      <w:r>
        <w:rPr>
          <w:rFonts w:hint="eastAsia"/>
          <w:color w:val="auto"/>
          <w:highlight w:val="none"/>
        </w:rPr>
        <w:t>：配合监管单位案件查办开展的抽检，具有非常强的靶向性。</w:t>
      </w:r>
    </w:p>
    <w:p>
      <w:pPr>
        <w:pStyle w:val="25"/>
        <w:ind w:firstLine="643"/>
        <w:rPr>
          <w:rFonts w:hint="eastAsia"/>
          <w:color w:val="auto"/>
          <w:highlight w:val="none"/>
        </w:rPr>
      </w:pPr>
      <w:r>
        <w:rPr>
          <w:rFonts w:hint="eastAsia"/>
          <w:b/>
          <w:bCs/>
          <w:color w:val="auto"/>
          <w:highlight w:val="none"/>
        </w:rPr>
        <w:t>评价性抽检</w:t>
      </w:r>
      <w:r>
        <w:rPr>
          <w:rFonts w:hint="eastAsia"/>
          <w:color w:val="auto"/>
          <w:highlight w:val="none"/>
        </w:rPr>
        <w:t>：旨在客观评价本地区食品安全状况，覆盖全品类食品及各类食品生产经营业态，通过常年监测反应本地区食品安全状况变化，从而辅助监管抉择，合理提供本地区客观抽检合格率。</w:t>
      </w:r>
    </w:p>
    <w:p>
      <w:pPr>
        <w:pStyle w:val="25"/>
        <w:ind w:firstLine="643"/>
        <w:rPr>
          <w:rFonts w:hint="eastAsia"/>
          <w:color w:val="auto"/>
          <w:highlight w:val="none"/>
          <w:lang w:eastAsia="zh-CN"/>
        </w:rPr>
      </w:pPr>
      <w:r>
        <w:rPr>
          <w:rFonts w:hint="eastAsia"/>
          <w:color w:val="auto"/>
          <w:highlight w:val="none"/>
          <w:lang w:eastAsia="zh-CN"/>
        </w:rPr>
        <w:t>日常监督、专项监督和评价性抽检抽样覆盖面广、</w:t>
      </w:r>
      <w:r>
        <w:rPr>
          <w:rFonts w:hint="eastAsia"/>
          <w:color w:val="auto"/>
          <w:highlight w:val="none"/>
        </w:rPr>
        <w:t>抽检比重大</w:t>
      </w:r>
      <w:r>
        <w:rPr>
          <w:rFonts w:hint="eastAsia"/>
          <w:color w:val="auto"/>
          <w:highlight w:val="none"/>
          <w:lang w:eastAsia="zh-CN"/>
        </w:rPr>
        <w:t>，下文进行重点分析。</w:t>
      </w:r>
    </w:p>
    <w:p>
      <w:pPr>
        <w:pStyle w:val="19"/>
        <w:rPr>
          <w:color w:val="auto"/>
        </w:rPr>
      </w:pPr>
      <w:r>
        <w:rPr>
          <w:rFonts w:hint="eastAsia"/>
          <w:color w:val="auto"/>
        </w:rPr>
        <w:br w:type="page"/>
      </w:r>
      <w:bookmarkStart w:id="81" w:name="_Toc42087564"/>
      <w:r>
        <w:rPr>
          <w:rFonts w:hint="eastAsia"/>
          <w:color w:val="auto"/>
        </w:rPr>
        <w:t>第二部分</w:t>
      </w:r>
      <w:bookmarkEnd w:id="41"/>
      <w:bookmarkEnd w:id="42"/>
      <w:bookmarkEnd w:id="81"/>
    </w:p>
    <w:p>
      <w:pPr>
        <w:pStyle w:val="19"/>
        <w:rPr>
          <w:color w:val="auto"/>
        </w:rPr>
      </w:pPr>
      <w:bookmarkStart w:id="82" w:name="_Toc27972"/>
      <w:bookmarkStart w:id="83" w:name="_Toc42087565"/>
      <w:bookmarkStart w:id="84" w:name="_Toc21767"/>
      <w:bookmarkStart w:id="85" w:name="_Toc829"/>
      <w:r>
        <w:rPr>
          <w:rFonts w:hint="eastAsia"/>
          <w:color w:val="auto"/>
        </w:rPr>
        <w:t>食品</w:t>
      </w:r>
      <w:r>
        <w:rPr>
          <w:rFonts w:hint="eastAsia"/>
          <w:color w:val="auto"/>
          <w:lang w:eastAsia="zh-CN"/>
        </w:rPr>
        <w:t>日常</w:t>
      </w:r>
      <w:r>
        <w:rPr>
          <w:rFonts w:hint="eastAsia"/>
          <w:color w:val="auto"/>
        </w:rPr>
        <w:t>监督抽检</w:t>
      </w:r>
      <w:bookmarkEnd w:id="43"/>
      <w:bookmarkEnd w:id="44"/>
      <w:bookmarkEnd w:id="45"/>
      <w:bookmarkEnd w:id="46"/>
      <w:bookmarkEnd w:id="82"/>
      <w:bookmarkEnd w:id="83"/>
      <w:bookmarkEnd w:id="84"/>
      <w:bookmarkEnd w:id="85"/>
    </w:p>
    <w:p>
      <w:pPr>
        <w:rPr>
          <w:color w:val="auto"/>
        </w:rPr>
      </w:pPr>
    </w:p>
    <w:p>
      <w:pPr>
        <w:pStyle w:val="4"/>
        <w:spacing w:before="360"/>
        <w:ind w:firstLine="643" w:firstLineChars="200"/>
        <w:rPr>
          <w:color w:val="auto"/>
        </w:rPr>
      </w:pPr>
      <w:bookmarkStart w:id="86" w:name="_Toc28198"/>
      <w:bookmarkStart w:id="87" w:name="_Toc694"/>
      <w:bookmarkStart w:id="88" w:name="_Toc42087566"/>
      <w:bookmarkStart w:id="89" w:name="_Toc8400819"/>
      <w:bookmarkStart w:id="90" w:name="_Toc8400648"/>
      <w:bookmarkStart w:id="91" w:name="_Toc8401619"/>
      <w:bookmarkStart w:id="92" w:name="_Toc535483863"/>
      <w:r>
        <w:rPr>
          <w:rFonts w:hint="eastAsia"/>
          <w:color w:val="auto"/>
        </w:rPr>
        <w:t>一、食品日常监督抽检</w:t>
      </w:r>
      <w:bookmarkEnd w:id="86"/>
      <w:bookmarkEnd w:id="87"/>
      <w:bookmarkEnd w:id="88"/>
      <w:r>
        <w:rPr>
          <w:rFonts w:hint="eastAsia"/>
          <w:color w:val="auto"/>
        </w:rPr>
        <w:t>整体情况</w:t>
      </w:r>
      <w:bookmarkEnd w:id="89"/>
      <w:bookmarkEnd w:id="90"/>
      <w:bookmarkEnd w:id="91"/>
      <w:bookmarkEnd w:id="92"/>
    </w:p>
    <w:p>
      <w:pPr>
        <w:pStyle w:val="25"/>
        <w:ind w:firstLine="640"/>
        <w:rPr>
          <w:color w:val="auto"/>
        </w:rPr>
      </w:pPr>
      <w:r>
        <w:rPr>
          <w:rFonts w:hint="eastAsia"/>
          <w:color w:val="auto"/>
        </w:rPr>
        <w:t>根据年度抽检计划、结合我市居民膳食结构、消费人群、消费模式、监管状况等多方面因素，日常监督作为年度抽检计划的重要组成部分，对全品类食品进行覆盖式的抽检，以问题为导向，兼顾客观评价及靶向性要求，在生产、流通、餐饮三个环节对重点业态进行有效覆盖，对非重点业态进行比例覆盖，201</w:t>
      </w:r>
      <w:r>
        <w:rPr>
          <w:color w:val="auto"/>
        </w:rPr>
        <w:t>9</w:t>
      </w:r>
      <w:r>
        <w:rPr>
          <w:rFonts w:hint="eastAsia"/>
          <w:color w:val="auto"/>
        </w:rPr>
        <w:t>年，深圳市市场监督管理局在全市范围内共组织</w:t>
      </w:r>
      <w:r>
        <w:rPr>
          <w:color w:val="auto"/>
        </w:rPr>
        <w:t>抽检</w:t>
      </w:r>
      <w:r>
        <w:rPr>
          <w:rFonts w:hint="eastAsia"/>
          <w:color w:val="auto"/>
        </w:rPr>
        <w:t>18400</w:t>
      </w:r>
      <w:r>
        <w:rPr>
          <w:color w:val="auto"/>
        </w:rPr>
        <w:t>家</w:t>
      </w:r>
      <w:r>
        <w:rPr>
          <w:rFonts w:hint="eastAsia"/>
          <w:color w:val="auto"/>
        </w:rPr>
        <w:t>/户</w:t>
      </w:r>
      <w:r>
        <w:rPr>
          <w:color w:val="auto"/>
        </w:rPr>
        <w:t>食品生产经营单位的食品</w:t>
      </w:r>
      <w:r>
        <w:rPr>
          <w:rFonts w:hint="eastAsia"/>
          <w:color w:val="auto"/>
        </w:rPr>
        <w:t>共</w:t>
      </w:r>
      <w:r>
        <w:rPr>
          <w:color w:val="auto"/>
        </w:rPr>
        <w:t>36387</w:t>
      </w:r>
      <w:r>
        <w:rPr>
          <w:rFonts w:hint="eastAsia"/>
          <w:color w:val="auto"/>
        </w:rPr>
        <w:t>批次，发现不合格及监测问题样品3</w:t>
      </w:r>
      <w:r>
        <w:rPr>
          <w:color w:val="auto"/>
        </w:rPr>
        <w:t>30</w:t>
      </w:r>
      <w:r>
        <w:rPr>
          <w:rFonts w:hint="eastAsia"/>
          <w:color w:val="auto"/>
        </w:rPr>
        <w:t>批次，日常监督抽检整体不合格/监测问题发现率为0</w:t>
      </w:r>
      <w:r>
        <w:rPr>
          <w:color w:val="auto"/>
        </w:rPr>
        <w:t>.91</w:t>
      </w:r>
      <w:r>
        <w:rPr>
          <w:rFonts w:hint="eastAsia"/>
          <w:color w:val="auto"/>
        </w:rPr>
        <w:t>%，日常监督抽检任务占全年抽检任务总量的</w:t>
      </w:r>
      <w:r>
        <w:rPr>
          <w:rFonts w:hint="eastAsia"/>
          <w:color w:val="auto"/>
          <w:highlight w:val="none"/>
        </w:rPr>
        <w:t>5</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7</w:t>
      </w:r>
      <w:r>
        <w:rPr>
          <w:rFonts w:hint="eastAsia"/>
          <w:color w:val="auto"/>
          <w:highlight w:val="none"/>
        </w:rPr>
        <w:t>%（36387/</w:t>
      </w:r>
      <w:r>
        <w:rPr>
          <w:rFonts w:hint="eastAsia"/>
          <w:color w:val="auto"/>
          <w:highlight w:val="none"/>
          <w:lang w:val="en-US" w:eastAsia="zh-CN"/>
        </w:rPr>
        <w:t>69065</w:t>
      </w:r>
      <w:r>
        <w:rPr>
          <w:rFonts w:hint="eastAsia"/>
          <w:color w:val="auto"/>
          <w:highlight w:val="none"/>
        </w:rPr>
        <w:t>），</w:t>
      </w:r>
      <w:r>
        <w:rPr>
          <w:rFonts w:hint="eastAsia"/>
          <w:color w:val="auto"/>
        </w:rPr>
        <w:t>重点进行分析。</w:t>
      </w:r>
    </w:p>
    <w:p>
      <w:pPr>
        <w:pStyle w:val="25"/>
        <w:ind w:firstLine="640"/>
        <w:rPr>
          <w:color w:val="auto"/>
        </w:rPr>
      </w:pPr>
      <w:r>
        <w:rPr>
          <w:rFonts w:hint="eastAsia"/>
          <w:color w:val="auto"/>
        </w:rPr>
        <w:t>近五年食品日常监督抽检问题发现率逐年下降，说明我市食品安全工作取得了明显成效（见图2</w:t>
      </w:r>
      <w:r>
        <w:rPr>
          <w:color w:val="auto"/>
        </w:rPr>
        <w:t>-1</w:t>
      </w:r>
      <w:r>
        <w:rPr>
          <w:rFonts w:hint="eastAsia"/>
          <w:color w:val="auto"/>
        </w:rPr>
        <w:t>）。</w:t>
      </w:r>
    </w:p>
    <w:p>
      <w:pPr>
        <w:widowControl/>
        <w:rPr>
          <w:rFonts w:ascii="宋体" w:hAnsi="宋体" w:cs="宋体"/>
          <w:color w:val="auto"/>
          <w:kern w:val="0"/>
          <w:sz w:val="24"/>
          <w:szCs w:val="24"/>
        </w:rPr>
      </w:pPr>
      <w:r>
        <w:rPr>
          <w:color w:val="auto"/>
        </w:rPr>
        <w:drawing>
          <wp:inline distT="0" distB="0" distL="114300" distR="114300">
            <wp:extent cx="5854065" cy="2950210"/>
            <wp:effectExtent l="0" t="0" r="13335" b="2540"/>
            <wp:docPr id="20" name="图片 4"/>
            <wp:cNvGraphicFramePr/>
            <a:graphic xmlns:a="http://schemas.openxmlformats.org/drawingml/2006/main">
              <a:graphicData uri="http://schemas.openxmlformats.org/drawingml/2006/picture">
                <pic:pic xmlns:pic="http://schemas.openxmlformats.org/drawingml/2006/picture">
                  <pic:nvPicPr>
                    <pic:cNvPr id="20" name="图片 4"/>
                    <pic:cNvPicPr/>
                  </pic:nvPicPr>
                  <pic:blipFill>
                    <a:blip r:embed="rId9"/>
                    <a:srcRect l="1108" t="1294" r="671" b="1732"/>
                    <a:stretch>
                      <a:fillRect/>
                    </a:stretch>
                  </pic:blipFill>
                  <pic:spPr>
                    <a:xfrm>
                      <a:off x="0" y="0"/>
                      <a:ext cx="5854065" cy="2950210"/>
                    </a:xfrm>
                    <a:prstGeom prst="rect">
                      <a:avLst/>
                    </a:prstGeom>
                    <a:noFill/>
                    <a:ln>
                      <a:noFill/>
                    </a:ln>
                  </pic:spPr>
                </pic:pic>
              </a:graphicData>
            </a:graphic>
          </wp:inline>
        </w:drawing>
      </w:r>
    </w:p>
    <w:p>
      <w:pPr>
        <w:pStyle w:val="31"/>
        <w:ind w:firstLine="480"/>
        <w:rPr>
          <w:rFonts w:ascii="仿宋" w:hAnsi="仿宋" w:eastAsia="仿宋"/>
          <w:color w:val="auto"/>
          <w:szCs w:val="24"/>
        </w:rPr>
      </w:pPr>
      <w:r>
        <w:rPr>
          <w:rFonts w:hint="eastAsia"/>
          <w:color w:val="auto"/>
        </w:rPr>
        <w:t>注：问题发现率=（不合格批次+监测问题样品批次）/总抽检批次</w:t>
      </w:r>
    </w:p>
    <w:p>
      <w:pPr>
        <w:rPr>
          <w:color w:val="auto"/>
        </w:rPr>
      </w:pPr>
    </w:p>
    <w:p>
      <w:pPr>
        <w:pStyle w:val="28"/>
        <w:spacing w:after="120"/>
        <w:rPr>
          <w:color w:val="auto"/>
        </w:rPr>
      </w:pPr>
      <w:r>
        <w:rPr>
          <w:rFonts w:hint="eastAsia"/>
          <w:color w:val="auto"/>
        </w:rPr>
        <w:t>图2</w:t>
      </w:r>
      <w:r>
        <w:rPr>
          <w:color w:val="auto"/>
        </w:rPr>
        <w:t>-1</w:t>
      </w:r>
      <w:r>
        <w:rPr>
          <w:rFonts w:hint="eastAsia"/>
          <w:color w:val="auto"/>
        </w:rPr>
        <w:t xml:space="preserve">  201</w:t>
      </w:r>
      <w:r>
        <w:rPr>
          <w:color w:val="auto"/>
        </w:rPr>
        <w:t>5</w:t>
      </w:r>
      <w:r>
        <w:rPr>
          <w:rFonts w:hint="eastAsia"/>
          <w:color w:val="auto"/>
        </w:rPr>
        <w:t>-201</w:t>
      </w:r>
      <w:r>
        <w:rPr>
          <w:color w:val="auto"/>
        </w:rPr>
        <w:t>9</w:t>
      </w:r>
      <w:r>
        <w:rPr>
          <w:rFonts w:hint="eastAsia"/>
          <w:color w:val="auto"/>
        </w:rPr>
        <w:t>年日常监督抽检问题发现率对比</w:t>
      </w:r>
      <w:bookmarkStart w:id="93" w:name="_Toc6860"/>
      <w:bookmarkStart w:id="94" w:name="_Toc24398"/>
    </w:p>
    <w:p>
      <w:pPr>
        <w:pStyle w:val="4"/>
        <w:spacing w:before="360"/>
        <w:ind w:firstLine="643" w:firstLineChars="200"/>
        <w:rPr>
          <w:rFonts w:hint="eastAsia"/>
          <w:color w:val="auto"/>
        </w:rPr>
      </w:pPr>
      <w:bookmarkStart w:id="95" w:name="_Toc42087568"/>
      <w:r>
        <w:rPr>
          <w:rFonts w:hint="eastAsia"/>
          <w:color w:val="auto"/>
          <w:lang w:eastAsia="zh-CN"/>
        </w:rPr>
        <w:t>二、</w:t>
      </w:r>
      <w:r>
        <w:rPr>
          <w:rFonts w:hint="eastAsia"/>
          <w:color w:val="auto"/>
        </w:rPr>
        <w:t>日常监督</w:t>
      </w:r>
      <w:r>
        <w:rPr>
          <w:rFonts w:hint="eastAsia"/>
          <w:color w:val="auto"/>
          <w:lang w:eastAsia="zh-CN"/>
        </w:rPr>
        <w:t>各</w:t>
      </w:r>
      <w:r>
        <w:rPr>
          <w:rFonts w:hint="eastAsia"/>
          <w:color w:val="auto"/>
        </w:rPr>
        <w:t>食品品种抽检情况</w:t>
      </w:r>
      <w:bookmarkEnd w:id="93"/>
      <w:bookmarkEnd w:id="94"/>
      <w:bookmarkEnd w:id="95"/>
    </w:p>
    <w:p>
      <w:pPr>
        <w:pStyle w:val="5"/>
        <w:spacing w:before="240" w:after="120"/>
        <w:ind w:firstLine="643" w:firstLineChars="200"/>
        <w:rPr>
          <w:rFonts w:hint="eastAsia" w:ascii="仿宋_GB2312" w:hAnsi="仿宋_GB2312" w:eastAsia="仿宋_GB2312" w:cs="仿宋_GB2312"/>
          <w:b/>
          <w:bCs w:val="0"/>
          <w:color w:val="auto"/>
          <w:lang w:eastAsia="zh-CN"/>
        </w:rPr>
      </w:pPr>
      <w:bookmarkStart w:id="96" w:name="_Toc31178"/>
      <w:bookmarkStart w:id="97" w:name="_Toc42087569"/>
      <w:bookmarkStart w:id="98" w:name="_Toc19488"/>
      <w:r>
        <w:rPr>
          <w:rFonts w:hint="eastAsia" w:ascii="仿宋_GB2312" w:hAnsi="仿宋_GB2312" w:eastAsia="仿宋_GB2312" w:cs="仿宋_GB2312"/>
          <w:b/>
          <w:bCs w:val="0"/>
          <w:color w:val="auto"/>
          <w:lang w:eastAsia="zh-CN"/>
        </w:rPr>
        <w:t>（一）整体情况</w:t>
      </w:r>
      <w:bookmarkEnd w:id="96"/>
      <w:bookmarkEnd w:id="97"/>
      <w:bookmarkEnd w:id="98"/>
    </w:p>
    <w:p>
      <w:pPr>
        <w:pStyle w:val="25"/>
        <w:ind w:firstLine="640"/>
        <w:rPr>
          <w:color w:val="auto"/>
        </w:rPr>
      </w:pPr>
      <w:r>
        <w:rPr>
          <w:rFonts w:hint="eastAsia"/>
          <w:color w:val="auto"/>
        </w:rPr>
        <w:t>201</w:t>
      </w:r>
      <w:r>
        <w:rPr>
          <w:color w:val="auto"/>
        </w:rPr>
        <w:t>9</w:t>
      </w:r>
      <w:r>
        <w:rPr>
          <w:rFonts w:hint="eastAsia"/>
          <w:color w:val="auto"/>
        </w:rPr>
        <w:t>年深圳市市场监督管理局组织的3</w:t>
      </w:r>
      <w:r>
        <w:rPr>
          <w:color w:val="auto"/>
        </w:rPr>
        <w:t>3</w:t>
      </w:r>
      <w:r>
        <w:rPr>
          <w:rFonts w:hint="eastAsia"/>
          <w:color w:val="auto"/>
        </w:rPr>
        <w:t>大类</w:t>
      </w:r>
      <w:r>
        <w:rPr>
          <w:color w:val="auto"/>
        </w:rPr>
        <w:t>36387</w:t>
      </w:r>
      <w:r>
        <w:rPr>
          <w:rFonts w:hint="eastAsia"/>
          <w:color w:val="auto"/>
        </w:rPr>
        <w:t>批次监督抽检中，饼干、蛋制品、罐头、可可及焙烤咖啡产品、食盐、糖果制品、特殊医学用途配方食品、婴幼儿配方食品</w:t>
      </w:r>
      <w:r>
        <w:rPr>
          <w:color w:val="auto"/>
        </w:rPr>
        <w:t>8</w:t>
      </w:r>
      <w:r>
        <w:rPr>
          <w:rFonts w:hint="eastAsia"/>
          <w:color w:val="auto"/>
        </w:rPr>
        <w:t>类食品未发现问题样品；乳制品、食用油、油脂及其制品、豆制品、速冻食品、粮食加工品、调味品、餐饮食品、茶叶及相关制品、方便食品、糕点1</w:t>
      </w:r>
      <w:r>
        <w:rPr>
          <w:color w:val="auto"/>
        </w:rPr>
        <w:t>0</w:t>
      </w:r>
      <w:r>
        <w:rPr>
          <w:rFonts w:hint="eastAsia"/>
          <w:color w:val="auto"/>
        </w:rPr>
        <w:t>类食品的问题发现率也低于整体问题发现率。各类食品抽检情况见图2</w:t>
      </w:r>
      <w:r>
        <w:rPr>
          <w:color w:val="auto"/>
        </w:rPr>
        <w:t>-2</w:t>
      </w:r>
      <w:r>
        <w:rPr>
          <w:rFonts w:hint="eastAsia"/>
          <w:color w:val="auto"/>
        </w:rPr>
        <w:t>。</w:t>
      </w:r>
    </w:p>
    <w:p>
      <w:pPr>
        <w:pStyle w:val="28"/>
        <w:spacing w:before="120" w:after="120"/>
        <w:ind w:firstLine="748"/>
        <w:rPr>
          <w:color w:val="auto"/>
        </w:rPr>
      </w:pPr>
    </w:p>
    <w:p>
      <w:pPr>
        <w:widowControl/>
        <w:jc w:val="center"/>
        <w:rPr>
          <w:rFonts w:ascii="宋体" w:hAnsi="宋体" w:cs="宋体"/>
          <w:color w:val="auto"/>
          <w:kern w:val="0"/>
          <w:sz w:val="24"/>
          <w:szCs w:val="24"/>
        </w:rPr>
      </w:pPr>
      <w:r>
        <w:rPr>
          <w:color w:val="auto"/>
        </w:rPr>
        <w:drawing>
          <wp:inline distT="0" distB="0" distL="114300" distR="114300">
            <wp:extent cx="5896610" cy="3340735"/>
            <wp:effectExtent l="0" t="0" r="889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0"/>
                    <a:srcRect r="3110" b="-6450"/>
                    <a:stretch>
                      <a:fillRect/>
                    </a:stretch>
                  </pic:blipFill>
                  <pic:spPr>
                    <a:xfrm>
                      <a:off x="0" y="0"/>
                      <a:ext cx="5896610" cy="3340735"/>
                    </a:xfrm>
                    <a:prstGeom prst="rect">
                      <a:avLst/>
                    </a:prstGeom>
                    <a:noFill/>
                    <a:ln>
                      <a:noFill/>
                    </a:ln>
                  </pic:spPr>
                </pic:pic>
              </a:graphicData>
            </a:graphic>
          </wp:inline>
        </w:drawing>
      </w:r>
    </w:p>
    <w:p>
      <w:pPr>
        <w:pStyle w:val="28"/>
        <w:spacing w:after="120"/>
        <w:rPr>
          <w:color w:val="auto"/>
        </w:rPr>
      </w:pPr>
      <w:r>
        <w:rPr>
          <w:rFonts w:hint="eastAsia"/>
          <w:color w:val="auto"/>
        </w:rPr>
        <w:t>图2</w:t>
      </w:r>
      <w:r>
        <w:rPr>
          <w:color w:val="auto"/>
        </w:rPr>
        <w:t>-2</w:t>
      </w:r>
      <w:r>
        <w:rPr>
          <w:rFonts w:hint="eastAsia"/>
          <w:color w:val="auto"/>
        </w:rPr>
        <w:t xml:space="preserve">  </w:t>
      </w:r>
      <w:r>
        <w:rPr>
          <w:color w:val="auto"/>
        </w:rPr>
        <w:t>2019</w:t>
      </w:r>
      <w:r>
        <w:rPr>
          <w:rFonts w:hint="eastAsia"/>
          <w:color w:val="auto"/>
        </w:rPr>
        <w:t>年日常监督各类食品抽检情况（批次、问题发现率对比）</w:t>
      </w:r>
    </w:p>
    <w:p>
      <w:pPr>
        <w:pStyle w:val="5"/>
        <w:spacing w:before="240" w:after="120"/>
        <w:ind w:firstLine="643" w:firstLineChars="200"/>
        <w:rPr>
          <w:rFonts w:hint="eastAsia" w:ascii="仿宋_GB2312" w:hAnsi="仿宋_GB2312" w:eastAsia="仿宋_GB2312" w:cs="仿宋_GB2312"/>
          <w:b/>
          <w:bCs w:val="0"/>
          <w:color w:val="auto"/>
          <w:lang w:eastAsia="zh-CN"/>
        </w:rPr>
      </w:pPr>
      <w:bookmarkStart w:id="99" w:name="_Toc42087570"/>
      <w:bookmarkStart w:id="100" w:name="_Toc17865"/>
      <w:bookmarkStart w:id="101" w:name="_Toc23595"/>
      <w:r>
        <w:rPr>
          <w:rFonts w:hint="eastAsia" w:ascii="仿宋_GB2312" w:hAnsi="仿宋_GB2312" w:eastAsia="仿宋_GB2312" w:cs="仿宋_GB2312"/>
          <w:b/>
          <w:bCs w:val="0"/>
          <w:color w:val="auto"/>
          <w:lang w:eastAsia="zh-CN"/>
        </w:rPr>
        <w:t>（二）重点品种食品抽检情况</w:t>
      </w:r>
      <w:bookmarkEnd w:id="99"/>
      <w:bookmarkEnd w:id="100"/>
      <w:bookmarkEnd w:id="101"/>
    </w:p>
    <w:p>
      <w:pPr>
        <w:pStyle w:val="25"/>
        <w:ind w:firstLine="640"/>
        <w:rPr>
          <w:color w:val="auto"/>
        </w:rPr>
      </w:pPr>
      <w:r>
        <w:rPr>
          <w:rFonts w:hint="eastAsia"/>
          <w:color w:val="auto"/>
        </w:rPr>
        <w:t>按照市政府绩效管理委员会所明确的“食品安全状况”指标考评标准操作规程关于重点品种食品监测合格指标的监测要求，为客观评价各区政府(新区管委会)落实食品安全工作责任情况，根据《关于印发2019年深圳市重点品种食品安全状况评价性监测工作方案的通知》（深食药安办﹝2019﹞29号）将日常监督抽检中大米、大米制品、小麦粉、生湿面、肉制品、食用植物油、乳及乳制品（灭菌乳、调制乳）、乳及乳制品（乳粉、发酵乳、巴氏杀菌乳）等八类食品列为重点品种食品，通过对其抽检情况进行科学分析评价，指导辖区政府(新区管委会)针对性地强化食品安全监管措施，提升我市食品安全管理水平。2</w:t>
      </w:r>
      <w:r>
        <w:rPr>
          <w:color w:val="auto"/>
        </w:rPr>
        <w:t>019</w:t>
      </w:r>
      <w:r>
        <w:rPr>
          <w:rFonts w:hint="eastAsia"/>
          <w:color w:val="auto"/>
        </w:rPr>
        <w:t>年重点品种食品抽检批次及问题发现率见图2</w:t>
      </w:r>
      <w:r>
        <w:rPr>
          <w:color w:val="auto"/>
        </w:rPr>
        <w:t>-3</w:t>
      </w:r>
      <w:r>
        <w:rPr>
          <w:rFonts w:hint="eastAsia"/>
          <w:color w:val="auto"/>
        </w:rPr>
        <w:t>。</w:t>
      </w:r>
    </w:p>
    <w:p>
      <w:pPr>
        <w:widowControl/>
        <w:jc w:val="center"/>
        <w:rPr>
          <w:rFonts w:ascii="宋体" w:hAnsi="宋体" w:cs="宋体"/>
          <w:color w:val="auto"/>
          <w:kern w:val="0"/>
          <w:sz w:val="24"/>
          <w:szCs w:val="24"/>
        </w:rPr>
      </w:pPr>
      <w:r>
        <w:rPr>
          <w:color w:val="auto"/>
        </w:rPr>
        <w:drawing>
          <wp:inline distT="0" distB="0" distL="114300" distR="114300">
            <wp:extent cx="5695950" cy="2933700"/>
            <wp:effectExtent l="5080" t="4445" r="13970" b="14605"/>
            <wp:docPr id="24" name="图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28"/>
        <w:spacing w:after="120"/>
        <w:rPr>
          <w:b/>
          <w:color w:val="auto"/>
        </w:rPr>
      </w:pPr>
      <w:r>
        <w:rPr>
          <w:rFonts w:hint="eastAsia"/>
          <w:color w:val="auto"/>
        </w:rPr>
        <w:t>图2</w:t>
      </w:r>
      <w:r>
        <w:rPr>
          <w:color w:val="auto"/>
        </w:rPr>
        <w:t>-3</w:t>
      </w:r>
      <w:r>
        <w:rPr>
          <w:rFonts w:hint="eastAsia"/>
          <w:color w:val="auto"/>
        </w:rPr>
        <w:t xml:space="preserve">  </w:t>
      </w:r>
      <w:r>
        <w:rPr>
          <w:color w:val="auto"/>
        </w:rPr>
        <w:t>2</w:t>
      </w:r>
      <w:r>
        <w:rPr>
          <w:rFonts w:hint="eastAsia"/>
          <w:color w:val="auto"/>
        </w:rPr>
        <w:t>019年重点品种食品抽检批次及问题发现率</w:t>
      </w:r>
    </w:p>
    <w:p>
      <w:pPr>
        <w:pStyle w:val="4"/>
        <w:spacing w:before="360"/>
        <w:ind w:firstLine="643" w:firstLineChars="200"/>
        <w:rPr>
          <w:rFonts w:hint="eastAsia"/>
          <w:color w:val="auto"/>
        </w:rPr>
      </w:pPr>
      <w:bookmarkStart w:id="102" w:name="_Toc14443"/>
      <w:bookmarkStart w:id="103" w:name="_Toc28876"/>
      <w:bookmarkStart w:id="104" w:name="_Toc42087571"/>
      <w:r>
        <w:rPr>
          <w:rFonts w:hint="eastAsia"/>
          <w:color w:val="auto"/>
          <w:lang w:eastAsia="zh-CN"/>
        </w:rPr>
        <w:t>三、</w:t>
      </w:r>
      <w:r>
        <w:rPr>
          <w:rFonts w:hint="eastAsia"/>
          <w:color w:val="auto"/>
        </w:rPr>
        <w:t>日常监督各环节</w:t>
      </w:r>
      <w:r>
        <w:rPr>
          <w:rFonts w:hint="eastAsia"/>
          <w:color w:val="auto"/>
          <w:lang w:eastAsia="zh-CN"/>
        </w:rPr>
        <w:t>及重点业态</w:t>
      </w:r>
      <w:r>
        <w:rPr>
          <w:rFonts w:hint="eastAsia"/>
          <w:color w:val="auto"/>
        </w:rPr>
        <w:t>抽检情况</w:t>
      </w:r>
      <w:bookmarkEnd w:id="102"/>
      <w:bookmarkEnd w:id="103"/>
      <w:bookmarkEnd w:id="104"/>
    </w:p>
    <w:p>
      <w:pPr>
        <w:pStyle w:val="5"/>
        <w:spacing w:before="240" w:after="120"/>
        <w:ind w:firstLine="643" w:firstLineChars="200"/>
        <w:rPr>
          <w:rFonts w:hint="eastAsia" w:ascii="仿宋_GB2312" w:hAnsi="仿宋_GB2312" w:eastAsia="仿宋_GB2312" w:cs="仿宋_GB2312"/>
          <w:b/>
          <w:bCs w:val="0"/>
          <w:color w:val="auto"/>
        </w:rPr>
      </w:pPr>
      <w:bookmarkStart w:id="105" w:name="_Toc42087572"/>
      <w:bookmarkStart w:id="106" w:name="_Toc7428"/>
      <w:bookmarkStart w:id="107" w:name="_Toc6891"/>
      <w:r>
        <w:rPr>
          <w:rFonts w:hint="eastAsia" w:ascii="仿宋_GB2312" w:hAnsi="仿宋_GB2312" w:eastAsia="仿宋_GB2312" w:cs="仿宋_GB2312"/>
          <w:b/>
          <w:bCs w:val="0"/>
          <w:color w:val="auto"/>
          <w:lang w:eastAsia="zh-CN"/>
        </w:rPr>
        <w:t>（一）</w:t>
      </w:r>
      <w:r>
        <w:rPr>
          <w:rFonts w:hint="eastAsia" w:ascii="仿宋_GB2312" w:hAnsi="仿宋_GB2312" w:eastAsia="仿宋_GB2312" w:cs="仿宋_GB2312"/>
          <w:b/>
          <w:bCs w:val="0"/>
          <w:color w:val="auto"/>
        </w:rPr>
        <w:t>整体情况</w:t>
      </w:r>
      <w:bookmarkEnd w:id="105"/>
      <w:bookmarkEnd w:id="106"/>
      <w:bookmarkEnd w:id="107"/>
    </w:p>
    <w:p>
      <w:pPr>
        <w:pStyle w:val="25"/>
        <w:ind w:firstLine="640"/>
        <w:rPr>
          <w:color w:val="auto"/>
        </w:rPr>
      </w:pPr>
      <w:r>
        <w:rPr>
          <w:rFonts w:hint="eastAsia"/>
          <w:color w:val="auto"/>
        </w:rPr>
        <w:t>2</w:t>
      </w:r>
      <w:r>
        <w:rPr>
          <w:color w:val="auto"/>
        </w:rPr>
        <w:t>019年</w:t>
      </w:r>
      <w:r>
        <w:rPr>
          <w:rFonts w:hint="eastAsia"/>
          <w:color w:val="auto"/>
        </w:rPr>
        <w:t>日常监督抽检在生产、流通及餐饮三个环节进行抽检，共抽检食品生产经营单位1</w:t>
      </w:r>
      <w:r>
        <w:rPr>
          <w:color w:val="auto"/>
        </w:rPr>
        <w:t>8400家次</w:t>
      </w:r>
      <w:r>
        <w:rPr>
          <w:rFonts w:hint="eastAsia"/>
          <w:color w:val="auto"/>
        </w:rPr>
        <w:t>，平均每家食品生产经营单位抽检2</w:t>
      </w:r>
      <w:r>
        <w:rPr>
          <w:color w:val="auto"/>
        </w:rPr>
        <w:t>批次</w:t>
      </w:r>
      <w:r>
        <w:rPr>
          <w:rFonts w:hint="eastAsia"/>
          <w:color w:val="auto"/>
        </w:rPr>
        <w:t>，各环节抽检情况见表2</w:t>
      </w:r>
      <w:r>
        <w:rPr>
          <w:color w:val="auto"/>
        </w:rPr>
        <w:t>-</w:t>
      </w:r>
      <w:r>
        <w:rPr>
          <w:rFonts w:hint="eastAsia"/>
          <w:color w:val="auto"/>
        </w:rPr>
        <w:t>1。从图2</w:t>
      </w:r>
      <w:r>
        <w:rPr>
          <w:color w:val="auto"/>
        </w:rPr>
        <w:t>-</w:t>
      </w:r>
      <w:r>
        <w:rPr>
          <w:rFonts w:hint="eastAsia"/>
          <w:color w:val="auto"/>
        </w:rPr>
        <w:t>4发现，日常监督抽检中，餐饮环节抽检批次数最多，占整体抽检的5</w:t>
      </w:r>
      <w:r>
        <w:rPr>
          <w:color w:val="auto"/>
        </w:rPr>
        <w:t>1.1</w:t>
      </w:r>
      <w:r>
        <w:rPr>
          <w:rFonts w:hint="eastAsia"/>
          <w:color w:val="auto"/>
          <w:lang w:val="en-US" w:eastAsia="zh-CN"/>
        </w:rPr>
        <w:t>4</w:t>
      </w:r>
      <w:r>
        <w:rPr>
          <w:rFonts w:hint="eastAsia"/>
          <w:color w:val="auto"/>
        </w:rPr>
        <w:t>%。</w:t>
      </w:r>
    </w:p>
    <w:p>
      <w:pPr>
        <w:pStyle w:val="25"/>
        <w:ind w:firstLine="640"/>
        <w:rPr>
          <w:rFonts w:hint="eastAsia"/>
          <w:color w:val="auto"/>
        </w:rPr>
      </w:pPr>
      <w:r>
        <w:rPr>
          <w:rFonts w:hint="eastAsia"/>
          <w:color w:val="auto"/>
        </w:rPr>
        <w:t>生产环节抽检场所涉及成品库（待检区）、成品库（已检区）、其他、原辅料库</w:t>
      </w:r>
      <w:r>
        <w:rPr>
          <w:rFonts w:hint="eastAsia"/>
          <w:color w:val="auto"/>
          <w:lang w:eastAsia="zh-CN"/>
        </w:rPr>
        <w:t>；</w:t>
      </w:r>
      <w:r>
        <w:rPr>
          <w:rFonts w:hint="eastAsia"/>
          <w:color w:val="auto"/>
        </w:rPr>
        <w:t>流通环节抽检场所涉及便利店小卖部、菜市场、连锁便利店、其他、小食杂店、超市、农贸市场、批发市场、商场</w:t>
      </w:r>
      <w:r>
        <w:rPr>
          <w:rFonts w:hint="eastAsia"/>
          <w:color w:val="auto"/>
          <w:lang w:eastAsia="zh-CN"/>
        </w:rPr>
        <w:t>；</w:t>
      </w:r>
      <w:r>
        <w:rPr>
          <w:rFonts w:hint="eastAsia"/>
          <w:color w:val="auto"/>
        </w:rPr>
        <w:t>餐饮环节抽检场所涉及工厂食堂、机关食堂、集中用餐配送单位、建筑工地食堂、连锁餐馆、企事业单位食堂、学校/托幼食堂、中央厨房、超市餐饮、大型餐馆（1000 ㎡以上）、蛋糕店、其他、食堂、外卖餐饮、微小餐馆（50㎡以下）、小吃店、小型餐馆（50~200 ㎡）、养老机构食堂、饮品店、中型餐馆（200~1000 ㎡）。</w:t>
      </w:r>
    </w:p>
    <w:p>
      <w:pPr>
        <w:pStyle w:val="28"/>
        <w:spacing w:before="120" w:after="120"/>
        <w:ind w:firstLine="748"/>
        <w:rPr>
          <w:color w:val="auto"/>
        </w:rPr>
      </w:pPr>
      <w:r>
        <w:rPr>
          <w:rFonts w:hint="eastAsia"/>
          <w:color w:val="auto"/>
        </w:rPr>
        <w:t>表2</w:t>
      </w:r>
      <w:r>
        <w:rPr>
          <w:color w:val="auto"/>
        </w:rPr>
        <w:t>-</w:t>
      </w:r>
      <w:r>
        <w:rPr>
          <w:rFonts w:hint="eastAsia"/>
          <w:color w:val="auto"/>
        </w:rPr>
        <w:t xml:space="preserve">1  </w:t>
      </w:r>
      <w:r>
        <w:rPr>
          <w:color w:val="auto"/>
        </w:rPr>
        <w:t>2019</w:t>
      </w:r>
      <w:r>
        <w:rPr>
          <w:rFonts w:hint="eastAsia"/>
          <w:color w:val="auto"/>
        </w:rPr>
        <w:t>年日常监督各环节抽检情况</w:t>
      </w:r>
    </w:p>
    <w:tbl>
      <w:tblPr>
        <w:tblStyle w:val="20"/>
        <w:tblW w:w="88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3"/>
        <w:gridCol w:w="1588"/>
        <w:gridCol w:w="1544"/>
        <w:gridCol w:w="1556"/>
        <w:gridCol w:w="2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03" w:type="dxa"/>
            <w:tcBorders>
              <w:top w:val="single" w:color="FFFFFF" w:sz="8" w:space="0"/>
              <w:left w:val="single" w:color="FFFFFF" w:sz="8" w:space="0"/>
              <w:bottom w:val="single" w:color="FFFFFF" w:sz="18" w:space="0"/>
              <w:right w:val="single" w:color="FFFFFF" w:sz="8" w:space="0"/>
            </w:tcBorders>
            <w:shd w:val="clear" w:color="auto" w:fill="4F81BD"/>
            <w:vAlign w:val="center"/>
          </w:tcPr>
          <w:p>
            <w:pPr>
              <w:pStyle w:val="29"/>
              <w:rPr>
                <w:color w:val="auto"/>
              </w:rPr>
            </w:pPr>
            <w:r>
              <w:rPr>
                <w:rFonts w:hint="eastAsia"/>
                <w:color w:val="auto"/>
              </w:rPr>
              <w:t>环节</w:t>
            </w:r>
          </w:p>
        </w:tc>
        <w:tc>
          <w:tcPr>
            <w:tcW w:w="1588" w:type="dxa"/>
            <w:tcBorders>
              <w:top w:val="single" w:color="FFFFFF" w:sz="8" w:space="0"/>
              <w:left w:val="single" w:color="FFFFFF" w:sz="8" w:space="0"/>
              <w:bottom w:val="single" w:color="FFFFFF" w:sz="18" w:space="0"/>
              <w:right w:val="single" w:color="FFFFFF" w:sz="8" w:space="0"/>
            </w:tcBorders>
            <w:shd w:val="clear" w:color="auto" w:fill="4F81BD"/>
            <w:vAlign w:val="center"/>
          </w:tcPr>
          <w:p>
            <w:pPr>
              <w:pStyle w:val="29"/>
              <w:rPr>
                <w:color w:val="auto"/>
              </w:rPr>
            </w:pPr>
            <w:r>
              <w:rPr>
                <w:rFonts w:hint="eastAsia"/>
                <w:color w:val="auto"/>
              </w:rPr>
              <w:t>抽检家次数</w:t>
            </w:r>
          </w:p>
        </w:tc>
        <w:tc>
          <w:tcPr>
            <w:tcW w:w="1544" w:type="dxa"/>
            <w:tcBorders>
              <w:top w:val="single" w:color="FFFFFF" w:sz="8" w:space="0"/>
              <w:left w:val="single" w:color="FFFFFF" w:sz="8" w:space="0"/>
              <w:bottom w:val="single" w:color="FFFFFF" w:sz="18" w:space="0"/>
              <w:right w:val="single" w:color="FFFFFF" w:sz="8" w:space="0"/>
            </w:tcBorders>
            <w:shd w:val="clear" w:color="auto" w:fill="4F81BD"/>
            <w:vAlign w:val="center"/>
          </w:tcPr>
          <w:p>
            <w:pPr>
              <w:pStyle w:val="29"/>
              <w:rPr>
                <w:color w:val="auto"/>
              </w:rPr>
            </w:pPr>
            <w:r>
              <w:rPr>
                <w:rFonts w:hint="eastAsia"/>
                <w:color w:val="auto"/>
              </w:rPr>
              <w:t>抽检批次</w:t>
            </w:r>
          </w:p>
        </w:tc>
        <w:tc>
          <w:tcPr>
            <w:tcW w:w="1556" w:type="dxa"/>
            <w:tcBorders>
              <w:top w:val="single" w:color="FFFFFF" w:sz="8" w:space="0"/>
              <w:left w:val="single" w:color="FFFFFF" w:sz="8" w:space="0"/>
              <w:bottom w:val="single" w:color="FFFFFF" w:sz="18" w:space="0"/>
              <w:right w:val="single" w:color="FFFFFF" w:sz="8" w:space="0"/>
            </w:tcBorders>
            <w:shd w:val="clear" w:color="auto" w:fill="4F81BD"/>
            <w:vAlign w:val="center"/>
          </w:tcPr>
          <w:p>
            <w:pPr>
              <w:pStyle w:val="29"/>
              <w:rPr>
                <w:color w:val="auto"/>
              </w:rPr>
            </w:pPr>
            <w:r>
              <w:rPr>
                <w:rFonts w:hint="eastAsia"/>
                <w:color w:val="auto"/>
              </w:rPr>
              <w:t>问题批次</w:t>
            </w:r>
          </w:p>
        </w:tc>
        <w:tc>
          <w:tcPr>
            <w:tcW w:w="2561" w:type="dxa"/>
            <w:tcBorders>
              <w:top w:val="single" w:color="FFFFFF" w:sz="8" w:space="0"/>
              <w:left w:val="single" w:color="FFFFFF" w:sz="8" w:space="0"/>
              <w:bottom w:val="single" w:color="FFFFFF" w:sz="18" w:space="0"/>
              <w:right w:val="single" w:color="FFFFFF" w:sz="8" w:space="0"/>
            </w:tcBorders>
            <w:shd w:val="clear" w:color="auto" w:fill="4F81BD"/>
            <w:vAlign w:val="center"/>
          </w:tcPr>
          <w:p>
            <w:pPr>
              <w:pStyle w:val="29"/>
              <w:rPr>
                <w:color w:val="auto"/>
              </w:rPr>
            </w:pPr>
            <w:r>
              <w:rPr>
                <w:rFonts w:hint="eastAsia"/>
                <w:color w:val="auto"/>
              </w:rPr>
              <w:t>问题发现率（%）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03" w:type="dxa"/>
            <w:tcBorders>
              <w:top w:val="single" w:color="FFFFFF" w:sz="1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生产</w:t>
            </w:r>
          </w:p>
        </w:tc>
        <w:tc>
          <w:tcPr>
            <w:tcW w:w="1588" w:type="dxa"/>
            <w:tcBorders>
              <w:top w:val="single" w:color="FFFFFF" w:sz="1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19</w:t>
            </w:r>
            <w:r>
              <w:rPr>
                <w:color w:val="auto"/>
              </w:rPr>
              <w:t>74</w:t>
            </w:r>
          </w:p>
        </w:tc>
        <w:tc>
          <w:tcPr>
            <w:tcW w:w="1544" w:type="dxa"/>
            <w:tcBorders>
              <w:top w:val="single" w:color="FFFFFF" w:sz="1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3377</w:t>
            </w:r>
          </w:p>
        </w:tc>
        <w:tc>
          <w:tcPr>
            <w:tcW w:w="1556" w:type="dxa"/>
            <w:tcBorders>
              <w:top w:val="single" w:color="FFFFFF" w:sz="1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32</w:t>
            </w:r>
          </w:p>
        </w:tc>
        <w:tc>
          <w:tcPr>
            <w:tcW w:w="2561" w:type="dxa"/>
            <w:tcBorders>
              <w:top w:val="single" w:color="FFFFFF" w:sz="1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03"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流通</w:t>
            </w:r>
          </w:p>
        </w:tc>
        <w:tc>
          <w:tcPr>
            <w:tcW w:w="1588"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42</w:t>
            </w:r>
            <w:r>
              <w:rPr>
                <w:color w:val="auto"/>
              </w:rPr>
              <w:t>59</w:t>
            </w:r>
          </w:p>
        </w:tc>
        <w:tc>
          <w:tcPr>
            <w:tcW w:w="1544"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14400</w:t>
            </w:r>
          </w:p>
        </w:tc>
        <w:tc>
          <w:tcPr>
            <w:tcW w:w="1556"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127</w:t>
            </w:r>
          </w:p>
        </w:tc>
        <w:tc>
          <w:tcPr>
            <w:tcW w:w="2561"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03"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餐饮</w:t>
            </w:r>
          </w:p>
        </w:tc>
        <w:tc>
          <w:tcPr>
            <w:tcW w:w="1588"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121</w:t>
            </w:r>
            <w:r>
              <w:rPr>
                <w:color w:val="auto"/>
              </w:rPr>
              <w:t>67</w:t>
            </w:r>
          </w:p>
        </w:tc>
        <w:tc>
          <w:tcPr>
            <w:tcW w:w="1544"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18610</w:t>
            </w:r>
          </w:p>
        </w:tc>
        <w:tc>
          <w:tcPr>
            <w:tcW w:w="1556"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171</w:t>
            </w:r>
          </w:p>
        </w:tc>
        <w:tc>
          <w:tcPr>
            <w:tcW w:w="2561"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03"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合计</w:t>
            </w:r>
          </w:p>
        </w:tc>
        <w:tc>
          <w:tcPr>
            <w:tcW w:w="1588"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18</w:t>
            </w:r>
            <w:r>
              <w:rPr>
                <w:color w:val="auto"/>
              </w:rPr>
              <w:t>400</w:t>
            </w:r>
          </w:p>
        </w:tc>
        <w:tc>
          <w:tcPr>
            <w:tcW w:w="1544"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36387</w:t>
            </w:r>
          </w:p>
        </w:tc>
        <w:tc>
          <w:tcPr>
            <w:tcW w:w="1556"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330</w:t>
            </w:r>
          </w:p>
        </w:tc>
        <w:tc>
          <w:tcPr>
            <w:tcW w:w="2561"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0.91%</w:t>
            </w:r>
          </w:p>
        </w:tc>
      </w:tr>
    </w:tbl>
    <w:p>
      <w:pPr>
        <w:pStyle w:val="2"/>
        <w:ind w:left="0" w:leftChars="0" w:firstLine="0" w:firstLineChars="0"/>
        <w:rPr>
          <w:rFonts w:ascii="宋体" w:hAnsi="宋体" w:cs="宋体"/>
          <w:color w:val="auto"/>
          <w:kern w:val="0"/>
          <w:sz w:val="24"/>
          <w:szCs w:val="24"/>
        </w:rPr>
      </w:pPr>
    </w:p>
    <w:p>
      <w:pPr>
        <w:widowControl/>
        <w:jc w:val="center"/>
        <w:rPr>
          <w:color w:val="auto"/>
        </w:rPr>
      </w:pPr>
      <w:r>
        <w:rPr>
          <w:color w:val="auto"/>
        </w:rPr>
        <w:drawing>
          <wp:inline distT="0" distB="0" distL="114300" distR="114300">
            <wp:extent cx="5827395" cy="3752850"/>
            <wp:effectExtent l="0" t="0" r="1905" b="0"/>
            <wp:docPr id="25" name="图片 7"/>
            <wp:cNvGraphicFramePr/>
            <a:graphic xmlns:a="http://schemas.openxmlformats.org/drawingml/2006/main">
              <a:graphicData uri="http://schemas.openxmlformats.org/drawingml/2006/picture">
                <pic:pic xmlns:pic="http://schemas.openxmlformats.org/drawingml/2006/picture">
                  <pic:nvPicPr>
                    <pic:cNvPr id="25" name="图片 7"/>
                    <pic:cNvPicPr/>
                  </pic:nvPicPr>
                  <pic:blipFill>
                    <a:blip r:embed="rId12"/>
                    <a:srcRect l="458" t="351" r="937" b="1456"/>
                    <a:stretch>
                      <a:fillRect/>
                    </a:stretch>
                  </pic:blipFill>
                  <pic:spPr>
                    <a:xfrm>
                      <a:off x="0" y="0"/>
                      <a:ext cx="5827395" cy="3752850"/>
                    </a:xfrm>
                    <a:prstGeom prst="rect">
                      <a:avLst/>
                    </a:prstGeom>
                    <a:noFill/>
                    <a:ln>
                      <a:noFill/>
                    </a:ln>
                  </pic:spPr>
                </pic:pic>
              </a:graphicData>
            </a:graphic>
          </wp:inline>
        </w:drawing>
      </w:r>
    </w:p>
    <w:p>
      <w:pPr>
        <w:pStyle w:val="28"/>
        <w:spacing w:after="120"/>
        <w:rPr>
          <w:color w:val="auto"/>
        </w:rPr>
      </w:pPr>
      <w:r>
        <w:rPr>
          <w:rFonts w:hint="eastAsia"/>
          <w:color w:val="auto"/>
        </w:rPr>
        <w:t>图2</w:t>
      </w:r>
      <w:r>
        <w:rPr>
          <w:color w:val="auto"/>
        </w:rPr>
        <w:t>-</w:t>
      </w:r>
      <w:r>
        <w:rPr>
          <w:rFonts w:hint="eastAsia"/>
          <w:color w:val="auto"/>
        </w:rPr>
        <w:t xml:space="preserve">4  </w:t>
      </w:r>
      <w:r>
        <w:rPr>
          <w:color w:val="auto"/>
        </w:rPr>
        <w:t>2019</w:t>
      </w:r>
      <w:r>
        <w:rPr>
          <w:rFonts w:hint="eastAsia"/>
          <w:color w:val="auto"/>
        </w:rPr>
        <w:t>年日常监督各环节抽检任务及问题发现率对比</w:t>
      </w:r>
    </w:p>
    <w:p>
      <w:pPr>
        <w:pStyle w:val="5"/>
        <w:spacing w:before="240" w:after="120"/>
        <w:ind w:firstLine="643" w:firstLineChars="200"/>
        <w:rPr>
          <w:rFonts w:hint="eastAsia" w:ascii="仿宋_GB2312" w:hAnsi="仿宋_GB2312" w:eastAsia="仿宋_GB2312" w:cs="仿宋_GB2312"/>
          <w:b/>
          <w:bCs w:val="0"/>
          <w:color w:val="auto"/>
          <w:lang w:eastAsia="zh-CN"/>
        </w:rPr>
      </w:pPr>
      <w:bookmarkStart w:id="108" w:name="_Toc17846"/>
      <w:bookmarkStart w:id="109" w:name="_Toc42087573"/>
      <w:bookmarkStart w:id="110" w:name="_Toc10654"/>
      <w:r>
        <w:rPr>
          <w:rFonts w:hint="eastAsia" w:ascii="仿宋_GB2312" w:hAnsi="仿宋_GB2312" w:eastAsia="仿宋_GB2312" w:cs="仿宋_GB2312"/>
          <w:b/>
          <w:bCs w:val="0"/>
          <w:color w:val="auto"/>
          <w:lang w:eastAsia="zh-CN"/>
        </w:rPr>
        <w:t>（二）重点业态食品抽检情况</w:t>
      </w:r>
      <w:bookmarkEnd w:id="108"/>
      <w:bookmarkEnd w:id="109"/>
      <w:bookmarkEnd w:id="110"/>
    </w:p>
    <w:p>
      <w:pPr>
        <w:pStyle w:val="25"/>
        <w:ind w:firstLine="640"/>
        <w:rPr>
          <w:color w:val="auto"/>
        </w:rPr>
      </w:pPr>
      <w:r>
        <w:rPr>
          <w:rFonts w:hint="eastAsia"/>
          <w:color w:val="auto"/>
        </w:rPr>
        <w:t>2</w:t>
      </w:r>
      <w:r>
        <w:rPr>
          <w:color w:val="auto"/>
        </w:rPr>
        <w:t>019</w:t>
      </w:r>
      <w:r>
        <w:rPr>
          <w:rFonts w:hint="eastAsia"/>
          <w:color w:val="auto"/>
        </w:rPr>
        <w:t>年日常监督生产环节涉及</w:t>
      </w:r>
      <w:r>
        <w:rPr>
          <w:rFonts w:hint="eastAsia"/>
          <w:color w:val="auto"/>
          <w:lang w:eastAsia="zh-CN"/>
        </w:rPr>
        <w:t>的</w:t>
      </w:r>
      <w:r>
        <w:rPr>
          <w:rFonts w:hint="eastAsia"/>
          <w:color w:val="auto"/>
        </w:rPr>
        <w:t>抽检场所均为重点业态，为监管责任重点场所，实行每季度生产企业抽检全覆盖</w:t>
      </w:r>
      <w:r>
        <w:rPr>
          <w:rFonts w:hint="eastAsia"/>
          <w:color w:val="auto"/>
          <w:lang w:eastAsia="zh-CN"/>
        </w:rPr>
        <w:t>；</w:t>
      </w:r>
      <w:r>
        <w:rPr>
          <w:rFonts w:hint="eastAsia"/>
          <w:color w:val="auto"/>
        </w:rPr>
        <w:t>流通环节抽检场所</w:t>
      </w:r>
      <w:r>
        <w:rPr>
          <w:rFonts w:hint="eastAsia"/>
          <w:color w:val="auto"/>
          <w:lang w:eastAsia="zh-CN"/>
        </w:rPr>
        <w:t>中</w:t>
      </w:r>
      <w:r>
        <w:rPr>
          <w:rFonts w:hint="eastAsia"/>
          <w:color w:val="auto"/>
        </w:rPr>
        <w:t>超市、农贸市场、批发市场、商场为重点业态，为监管责任重点场所</w:t>
      </w:r>
      <w:r>
        <w:rPr>
          <w:rFonts w:hint="eastAsia"/>
          <w:color w:val="auto"/>
          <w:lang w:eastAsia="zh-CN"/>
        </w:rPr>
        <w:t>；</w:t>
      </w:r>
      <w:r>
        <w:rPr>
          <w:rFonts w:hint="eastAsia"/>
          <w:color w:val="auto"/>
        </w:rPr>
        <w:t>餐饮环节抽检场</w:t>
      </w:r>
      <w:r>
        <w:rPr>
          <w:rFonts w:hint="eastAsia"/>
          <w:color w:val="auto"/>
          <w:lang w:eastAsia="zh-CN"/>
        </w:rPr>
        <w:t>所中</w:t>
      </w:r>
      <w:r>
        <w:rPr>
          <w:rFonts w:hint="eastAsia"/>
          <w:color w:val="auto"/>
        </w:rPr>
        <w:t>工厂食堂、机关食堂、集中用餐配送单位、建筑工地食堂、连锁餐馆、企事业单位食堂、学校/托幼食堂、中央厨房为重点业态，为监管责任重点场所。</w:t>
      </w:r>
      <w:r>
        <w:rPr>
          <w:rFonts w:hint="eastAsia"/>
          <w:color w:val="auto"/>
          <w:lang w:eastAsia="zh-CN"/>
        </w:rPr>
        <w:t>重点业态</w:t>
      </w:r>
      <w:r>
        <w:rPr>
          <w:rFonts w:hint="eastAsia"/>
          <w:color w:val="auto"/>
        </w:rPr>
        <w:t>抽检情况</w:t>
      </w:r>
      <w:r>
        <w:rPr>
          <w:rFonts w:hint="eastAsia"/>
          <w:color w:val="auto"/>
          <w:lang w:eastAsia="zh-CN"/>
        </w:rPr>
        <w:t>详</w:t>
      </w:r>
      <w:r>
        <w:rPr>
          <w:rFonts w:hint="eastAsia"/>
          <w:color w:val="auto"/>
        </w:rPr>
        <w:t>见表</w:t>
      </w:r>
      <w:r>
        <w:rPr>
          <w:rFonts w:hint="eastAsia"/>
          <w:color w:val="auto"/>
          <w:highlight w:val="none"/>
        </w:rPr>
        <w:t>2</w:t>
      </w:r>
      <w:r>
        <w:rPr>
          <w:color w:val="auto"/>
          <w:highlight w:val="none"/>
        </w:rPr>
        <w:t>-</w:t>
      </w:r>
      <w:r>
        <w:rPr>
          <w:rFonts w:hint="eastAsia"/>
          <w:color w:val="auto"/>
          <w:highlight w:val="none"/>
        </w:rPr>
        <w:t>2</w:t>
      </w:r>
      <w:r>
        <w:rPr>
          <w:rFonts w:hint="eastAsia"/>
          <w:color w:val="auto"/>
          <w:highlight w:val="none"/>
          <w:lang w:eastAsia="zh-CN"/>
        </w:rPr>
        <w:t>，重点业态及其他业态抽检情况对比见图</w:t>
      </w:r>
      <w:r>
        <w:rPr>
          <w:rFonts w:hint="eastAsia"/>
          <w:color w:val="auto"/>
          <w:highlight w:val="none"/>
        </w:rPr>
        <w:t>2</w:t>
      </w:r>
      <w:r>
        <w:rPr>
          <w:rFonts w:hint="eastAsia"/>
          <w:color w:val="auto"/>
          <w:highlight w:val="none"/>
          <w:lang w:val="en-US" w:eastAsia="zh-CN"/>
        </w:rPr>
        <w:t>-5</w:t>
      </w:r>
      <w:r>
        <w:rPr>
          <w:rFonts w:hint="eastAsia"/>
          <w:color w:val="auto"/>
        </w:rPr>
        <w:t>。</w:t>
      </w:r>
    </w:p>
    <w:p>
      <w:pPr>
        <w:rPr>
          <w:color w:val="auto"/>
        </w:rPr>
      </w:pPr>
      <w:bookmarkStart w:id="111" w:name="_Hlk28090149"/>
    </w:p>
    <w:bookmarkEnd w:id="111"/>
    <w:p>
      <w:pPr>
        <w:pStyle w:val="28"/>
        <w:spacing w:after="120"/>
        <w:rPr>
          <w:color w:val="auto"/>
        </w:rPr>
      </w:pPr>
      <w:r>
        <w:rPr>
          <w:rFonts w:hint="eastAsia"/>
          <w:color w:val="auto"/>
        </w:rPr>
        <w:t>表2</w:t>
      </w:r>
      <w:r>
        <w:rPr>
          <w:color w:val="auto"/>
        </w:rPr>
        <w:t>-</w:t>
      </w:r>
      <w:r>
        <w:rPr>
          <w:rFonts w:hint="eastAsia"/>
          <w:color w:val="auto"/>
          <w:lang w:val="en-US" w:eastAsia="zh-CN"/>
        </w:rPr>
        <w:t>2</w:t>
      </w:r>
      <w:r>
        <w:rPr>
          <w:rFonts w:hint="eastAsia"/>
          <w:color w:val="auto"/>
        </w:rPr>
        <w:t xml:space="preserve">  2019年</w:t>
      </w:r>
      <w:r>
        <w:rPr>
          <w:rFonts w:hint="eastAsia"/>
          <w:color w:val="auto"/>
          <w:lang w:eastAsia="zh-CN"/>
        </w:rPr>
        <w:t>日常监督不同环节</w:t>
      </w:r>
      <w:r>
        <w:rPr>
          <w:rFonts w:hint="eastAsia"/>
          <w:color w:val="auto"/>
        </w:rPr>
        <w:t>业态抽检情况</w:t>
      </w:r>
    </w:p>
    <w:tbl>
      <w:tblPr>
        <w:tblStyle w:val="20"/>
        <w:tblW w:w="9630" w:type="dxa"/>
        <w:jc w:val="center"/>
        <w:tblInd w:w="0" w:type="dxa"/>
        <w:tblLayout w:type="fixed"/>
        <w:tblCellMar>
          <w:top w:w="0" w:type="dxa"/>
          <w:left w:w="108" w:type="dxa"/>
          <w:bottom w:w="0" w:type="dxa"/>
          <w:right w:w="108" w:type="dxa"/>
        </w:tblCellMar>
      </w:tblPr>
      <w:tblGrid>
        <w:gridCol w:w="924"/>
        <w:gridCol w:w="1276"/>
        <w:gridCol w:w="1276"/>
        <w:gridCol w:w="1843"/>
        <w:gridCol w:w="1275"/>
        <w:gridCol w:w="1276"/>
        <w:gridCol w:w="1760"/>
      </w:tblGrid>
      <w:tr>
        <w:tblPrEx>
          <w:tblLayout w:type="fixed"/>
          <w:tblCellMar>
            <w:top w:w="0" w:type="dxa"/>
            <w:left w:w="108" w:type="dxa"/>
            <w:bottom w:w="0" w:type="dxa"/>
            <w:right w:w="108" w:type="dxa"/>
          </w:tblCellMar>
        </w:tblPrEx>
        <w:trPr>
          <w:cantSplit/>
          <w:trHeight w:val="612" w:hRule="atLeast"/>
          <w:jc w:val="center"/>
        </w:trPr>
        <w:tc>
          <w:tcPr>
            <w:tcW w:w="924" w:type="dxa"/>
            <w:vMerge w:val="restart"/>
            <w:tcBorders>
              <w:top w:val="single" w:color="FFFFFF" w:sz="8" w:space="0"/>
              <w:left w:val="single" w:color="FFFFFF" w:sz="8" w:space="0"/>
              <w:bottom w:val="single" w:color="FFFFFF" w:sz="18" w:space="0"/>
              <w:right w:val="single" w:color="FFFFFF" w:sz="8" w:space="0"/>
            </w:tcBorders>
            <w:shd w:val="clear" w:color="auto" w:fill="4F81BD"/>
            <w:noWrap/>
            <w:vAlign w:val="center"/>
          </w:tcPr>
          <w:p>
            <w:pPr>
              <w:pStyle w:val="29"/>
              <w:rPr>
                <w:rFonts w:hint="eastAsia" w:eastAsia="黑体"/>
                <w:color w:val="auto"/>
                <w:lang w:eastAsia="zh-CN"/>
              </w:rPr>
            </w:pPr>
            <w:r>
              <w:rPr>
                <w:rFonts w:hint="eastAsia"/>
                <w:color w:val="auto"/>
                <w:lang w:eastAsia="zh-CN"/>
              </w:rPr>
              <w:t>环节</w:t>
            </w:r>
          </w:p>
        </w:tc>
        <w:tc>
          <w:tcPr>
            <w:tcW w:w="4395" w:type="dxa"/>
            <w:gridSpan w:val="3"/>
            <w:tcBorders>
              <w:top w:val="single" w:color="FFFFFF" w:sz="8" w:space="0"/>
              <w:left w:val="single" w:color="FFFFFF" w:sz="8" w:space="0"/>
              <w:bottom w:val="single" w:color="FFFFFF" w:sz="18" w:space="0"/>
              <w:right w:val="single" w:color="FFFFFF" w:sz="8" w:space="0"/>
            </w:tcBorders>
            <w:shd w:val="clear" w:color="auto" w:fill="4F81BD"/>
            <w:noWrap/>
            <w:vAlign w:val="center"/>
          </w:tcPr>
          <w:p>
            <w:pPr>
              <w:pStyle w:val="29"/>
              <w:rPr>
                <w:color w:val="auto"/>
              </w:rPr>
            </w:pPr>
            <w:r>
              <w:rPr>
                <w:rFonts w:hint="eastAsia"/>
                <w:color w:val="auto"/>
              </w:rPr>
              <w:t>重点业态</w:t>
            </w:r>
          </w:p>
        </w:tc>
        <w:tc>
          <w:tcPr>
            <w:tcW w:w="4311" w:type="dxa"/>
            <w:gridSpan w:val="3"/>
            <w:tcBorders>
              <w:top w:val="single" w:color="FFFFFF" w:sz="8" w:space="0"/>
              <w:left w:val="single" w:color="FFFFFF" w:sz="8" w:space="0"/>
              <w:bottom w:val="single" w:color="FFFFFF" w:sz="18" w:space="0"/>
              <w:right w:val="single" w:color="FFFFFF" w:sz="8" w:space="0"/>
            </w:tcBorders>
            <w:shd w:val="clear" w:color="auto" w:fill="4F81BD"/>
            <w:noWrap/>
            <w:vAlign w:val="center"/>
          </w:tcPr>
          <w:p>
            <w:pPr>
              <w:pStyle w:val="29"/>
              <w:rPr>
                <w:color w:val="auto"/>
              </w:rPr>
            </w:pPr>
            <w:r>
              <w:rPr>
                <w:rFonts w:hint="eastAsia"/>
                <w:color w:val="auto"/>
              </w:rPr>
              <w:t>其他业态</w:t>
            </w:r>
          </w:p>
        </w:tc>
      </w:tr>
      <w:tr>
        <w:tblPrEx>
          <w:tblLayout w:type="fixed"/>
          <w:tblCellMar>
            <w:top w:w="0" w:type="dxa"/>
            <w:left w:w="108" w:type="dxa"/>
            <w:bottom w:w="0" w:type="dxa"/>
            <w:right w:w="108" w:type="dxa"/>
          </w:tblCellMar>
        </w:tblPrEx>
        <w:trPr>
          <w:cantSplit/>
          <w:trHeight w:val="612" w:hRule="atLeast"/>
          <w:jc w:val="center"/>
        </w:trPr>
        <w:tc>
          <w:tcPr>
            <w:tcW w:w="924" w:type="dxa"/>
            <w:vMerge w:val="continue"/>
            <w:tcBorders>
              <w:top w:val="single" w:color="FFFFFF" w:sz="18" w:space="0"/>
              <w:left w:val="single" w:color="FFFFFF" w:sz="8" w:space="0"/>
              <w:bottom w:val="single" w:color="FFFFFF" w:sz="8" w:space="0"/>
              <w:right w:val="single" w:color="FFFFFF" w:sz="8" w:space="0"/>
            </w:tcBorders>
            <w:shd w:val="clear" w:color="auto" w:fill="D0D8E8"/>
            <w:vAlign w:val="center"/>
          </w:tcPr>
          <w:p>
            <w:pPr>
              <w:pStyle w:val="29"/>
              <w:rPr>
                <w:color w:val="auto"/>
              </w:rPr>
            </w:pPr>
          </w:p>
        </w:tc>
        <w:tc>
          <w:tcPr>
            <w:tcW w:w="1276" w:type="dxa"/>
            <w:tcBorders>
              <w:top w:val="single" w:color="FFFFFF" w:sz="18" w:space="0"/>
              <w:left w:val="single" w:color="FFFFFF" w:sz="8" w:space="0"/>
              <w:bottom w:val="single" w:color="FFFFFF" w:sz="8" w:space="0"/>
              <w:right w:val="single" w:color="FFFFFF" w:sz="8" w:space="0"/>
            </w:tcBorders>
            <w:shd w:val="clear" w:color="auto" w:fill="4F81BD"/>
            <w:noWrap/>
            <w:vAlign w:val="center"/>
          </w:tcPr>
          <w:p>
            <w:pPr>
              <w:pStyle w:val="29"/>
              <w:rPr>
                <w:color w:val="auto"/>
              </w:rPr>
            </w:pPr>
            <w:r>
              <w:rPr>
                <w:rFonts w:hint="eastAsia"/>
                <w:color w:val="auto"/>
              </w:rPr>
              <w:t>抽检批次</w:t>
            </w:r>
          </w:p>
        </w:tc>
        <w:tc>
          <w:tcPr>
            <w:tcW w:w="1276" w:type="dxa"/>
            <w:tcBorders>
              <w:top w:val="single" w:color="FFFFFF" w:sz="18" w:space="0"/>
              <w:left w:val="single" w:color="FFFFFF" w:sz="8" w:space="0"/>
              <w:bottom w:val="single" w:color="FFFFFF" w:sz="8" w:space="0"/>
              <w:right w:val="single" w:color="FFFFFF" w:sz="8" w:space="0"/>
            </w:tcBorders>
            <w:shd w:val="clear" w:color="auto" w:fill="4F81BD"/>
            <w:noWrap/>
            <w:vAlign w:val="center"/>
          </w:tcPr>
          <w:p>
            <w:pPr>
              <w:pStyle w:val="29"/>
              <w:rPr>
                <w:color w:val="auto"/>
              </w:rPr>
            </w:pPr>
            <w:r>
              <w:rPr>
                <w:rFonts w:hint="eastAsia"/>
                <w:color w:val="auto"/>
              </w:rPr>
              <w:t>问题批次</w:t>
            </w:r>
          </w:p>
        </w:tc>
        <w:tc>
          <w:tcPr>
            <w:tcW w:w="1843" w:type="dxa"/>
            <w:tcBorders>
              <w:top w:val="single" w:color="FFFFFF" w:sz="18" w:space="0"/>
              <w:left w:val="single" w:color="FFFFFF" w:sz="8" w:space="0"/>
              <w:bottom w:val="single" w:color="FFFFFF" w:sz="8" w:space="0"/>
              <w:right w:val="single" w:color="FFFFFF" w:sz="8" w:space="0"/>
            </w:tcBorders>
            <w:shd w:val="clear" w:color="auto" w:fill="4F81BD"/>
            <w:noWrap/>
            <w:vAlign w:val="center"/>
          </w:tcPr>
          <w:p>
            <w:pPr>
              <w:pStyle w:val="29"/>
              <w:rPr>
                <w:color w:val="auto"/>
              </w:rPr>
            </w:pPr>
            <w:r>
              <w:rPr>
                <w:rFonts w:hint="eastAsia"/>
                <w:color w:val="auto"/>
              </w:rPr>
              <w:t>问题发现率（%）</w:t>
            </w:r>
          </w:p>
        </w:tc>
        <w:tc>
          <w:tcPr>
            <w:tcW w:w="1275" w:type="dxa"/>
            <w:tcBorders>
              <w:top w:val="single" w:color="FFFFFF" w:sz="18" w:space="0"/>
              <w:left w:val="single" w:color="FFFFFF" w:sz="8" w:space="0"/>
              <w:bottom w:val="single" w:color="FFFFFF" w:sz="8" w:space="0"/>
              <w:right w:val="single" w:color="FFFFFF" w:sz="8" w:space="0"/>
            </w:tcBorders>
            <w:shd w:val="clear" w:color="auto" w:fill="4F81BD"/>
            <w:noWrap/>
            <w:vAlign w:val="center"/>
          </w:tcPr>
          <w:p>
            <w:pPr>
              <w:pStyle w:val="29"/>
              <w:rPr>
                <w:color w:val="auto"/>
              </w:rPr>
            </w:pPr>
            <w:r>
              <w:rPr>
                <w:rFonts w:hint="eastAsia"/>
                <w:color w:val="auto"/>
              </w:rPr>
              <w:t>抽检批次</w:t>
            </w:r>
          </w:p>
        </w:tc>
        <w:tc>
          <w:tcPr>
            <w:tcW w:w="1276" w:type="dxa"/>
            <w:tcBorders>
              <w:top w:val="single" w:color="FFFFFF" w:sz="18" w:space="0"/>
              <w:left w:val="single" w:color="FFFFFF" w:sz="8" w:space="0"/>
              <w:bottom w:val="single" w:color="FFFFFF" w:sz="8" w:space="0"/>
              <w:right w:val="single" w:color="FFFFFF" w:sz="8" w:space="0"/>
            </w:tcBorders>
            <w:shd w:val="clear" w:color="auto" w:fill="4F81BD"/>
            <w:noWrap/>
            <w:vAlign w:val="center"/>
          </w:tcPr>
          <w:p>
            <w:pPr>
              <w:pStyle w:val="29"/>
              <w:rPr>
                <w:color w:val="auto"/>
              </w:rPr>
            </w:pPr>
            <w:r>
              <w:rPr>
                <w:rFonts w:hint="eastAsia"/>
                <w:color w:val="auto"/>
              </w:rPr>
              <w:t>问题批次</w:t>
            </w:r>
          </w:p>
        </w:tc>
        <w:tc>
          <w:tcPr>
            <w:tcW w:w="1760" w:type="dxa"/>
            <w:tcBorders>
              <w:top w:val="single" w:color="FFFFFF" w:sz="18" w:space="0"/>
              <w:left w:val="single" w:color="FFFFFF" w:sz="8" w:space="0"/>
              <w:bottom w:val="single" w:color="FFFFFF" w:sz="8" w:space="0"/>
              <w:right w:val="single" w:color="FFFFFF" w:sz="8" w:space="0"/>
            </w:tcBorders>
            <w:shd w:val="clear" w:color="auto" w:fill="4F81BD"/>
            <w:noWrap/>
            <w:vAlign w:val="center"/>
          </w:tcPr>
          <w:p>
            <w:pPr>
              <w:pStyle w:val="29"/>
              <w:rPr>
                <w:color w:val="auto"/>
              </w:rPr>
            </w:pPr>
            <w:r>
              <w:rPr>
                <w:rFonts w:hint="eastAsia"/>
                <w:color w:val="auto"/>
              </w:rPr>
              <w:t>问题发现率（%）</w:t>
            </w:r>
          </w:p>
        </w:tc>
      </w:tr>
      <w:tr>
        <w:tblPrEx>
          <w:tblLayout w:type="fixed"/>
          <w:tblCellMar>
            <w:top w:w="0" w:type="dxa"/>
            <w:left w:w="108" w:type="dxa"/>
            <w:bottom w:w="0" w:type="dxa"/>
            <w:right w:w="108" w:type="dxa"/>
          </w:tblCellMar>
        </w:tblPrEx>
        <w:trPr>
          <w:cantSplit/>
          <w:trHeight w:val="612" w:hRule="atLeast"/>
          <w:jc w:val="center"/>
        </w:trPr>
        <w:tc>
          <w:tcPr>
            <w:tcW w:w="924" w:type="dxa"/>
            <w:tcBorders>
              <w:top w:val="single" w:color="FFFFFF" w:sz="8" w:space="0"/>
              <w:left w:val="single" w:color="FFFFFF" w:sz="8" w:space="0"/>
              <w:bottom w:val="single" w:color="FFFFFF" w:sz="8" w:space="0"/>
              <w:right w:val="single" w:color="FFFFFF" w:sz="8" w:space="0"/>
            </w:tcBorders>
            <w:shd w:val="clear" w:color="auto" w:fill="DAE3F3" w:themeFill="accent5" w:themeFillTint="32"/>
            <w:noWrap/>
            <w:vAlign w:val="center"/>
          </w:tcPr>
          <w:p>
            <w:pPr>
              <w:pStyle w:val="30"/>
              <w:rPr>
                <w:rFonts w:hint="eastAsia" w:eastAsia="仿宋"/>
                <w:color w:val="auto"/>
                <w:lang w:eastAsia="zh-CN"/>
              </w:rPr>
            </w:pPr>
            <w:r>
              <w:rPr>
                <w:rFonts w:hint="eastAsia"/>
                <w:color w:val="auto"/>
                <w:lang w:eastAsia="zh-CN"/>
              </w:rPr>
              <w:t>生产</w:t>
            </w:r>
          </w:p>
        </w:tc>
        <w:tc>
          <w:tcPr>
            <w:tcW w:w="1276" w:type="dxa"/>
            <w:tcBorders>
              <w:top w:val="single" w:color="FFFFFF" w:sz="8" w:space="0"/>
              <w:left w:val="single" w:color="FFFFFF" w:sz="8" w:space="0"/>
              <w:bottom w:val="single" w:color="FFFFFF" w:sz="8" w:space="0"/>
              <w:right w:val="single" w:color="FFFFFF" w:sz="8" w:space="0"/>
            </w:tcBorders>
            <w:shd w:val="clear" w:color="auto" w:fill="DAE3F3" w:themeFill="accent5" w:themeFillTint="32"/>
            <w:noWrap/>
            <w:vAlign w:val="center"/>
          </w:tcPr>
          <w:p>
            <w:pPr>
              <w:pStyle w:val="30"/>
              <w:rPr>
                <w:rFonts w:hint="default" w:eastAsia="仿宋"/>
                <w:color w:val="auto"/>
                <w:lang w:val="en-US" w:eastAsia="zh-CN"/>
              </w:rPr>
            </w:pPr>
            <w:r>
              <w:rPr>
                <w:rFonts w:hint="eastAsia"/>
                <w:color w:val="auto"/>
                <w:lang w:val="en-US" w:eastAsia="zh-CN"/>
              </w:rPr>
              <w:t>3377</w:t>
            </w:r>
          </w:p>
        </w:tc>
        <w:tc>
          <w:tcPr>
            <w:tcW w:w="1276" w:type="dxa"/>
            <w:tcBorders>
              <w:top w:val="single" w:color="FFFFFF" w:sz="8" w:space="0"/>
              <w:left w:val="single" w:color="FFFFFF" w:sz="8" w:space="0"/>
              <w:bottom w:val="single" w:color="FFFFFF" w:sz="8" w:space="0"/>
              <w:right w:val="single" w:color="FFFFFF" w:sz="8" w:space="0"/>
            </w:tcBorders>
            <w:shd w:val="clear" w:color="auto" w:fill="DAE3F3" w:themeFill="accent5" w:themeFillTint="32"/>
            <w:noWrap/>
            <w:vAlign w:val="center"/>
          </w:tcPr>
          <w:p>
            <w:pPr>
              <w:pStyle w:val="30"/>
              <w:rPr>
                <w:rFonts w:hint="default" w:eastAsia="仿宋"/>
                <w:color w:val="auto"/>
                <w:lang w:val="en-US" w:eastAsia="zh-CN"/>
              </w:rPr>
            </w:pPr>
            <w:r>
              <w:rPr>
                <w:rFonts w:hint="eastAsia"/>
                <w:color w:val="auto"/>
                <w:lang w:val="en-US" w:eastAsia="zh-CN"/>
              </w:rPr>
              <w:t>32</w:t>
            </w:r>
          </w:p>
        </w:tc>
        <w:tc>
          <w:tcPr>
            <w:tcW w:w="1843" w:type="dxa"/>
            <w:tcBorders>
              <w:top w:val="single" w:color="FFFFFF" w:sz="8" w:space="0"/>
              <w:left w:val="single" w:color="FFFFFF" w:sz="8" w:space="0"/>
              <w:bottom w:val="single" w:color="FFFFFF" w:sz="8" w:space="0"/>
              <w:right w:val="single" w:color="FFFFFF" w:sz="8" w:space="0"/>
            </w:tcBorders>
            <w:shd w:val="clear" w:color="auto" w:fill="DAE3F3" w:themeFill="accent5" w:themeFillTint="32"/>
            <w:noWrap/>
            <w:vAlign w:val="center"/>
          </w:tcPr>
          <w:p>
            <w:pPr>
              <w:pStyle w:val="30"/>
              <w:rPr>
                <w:rFonts w:hint="default" w:eastAsia="仿宋"/>
                <w:color w:val="auto"/>
                <w:lang w:val="en-US" w:eastAsia="zh-CN"/>
              </w:rPr>
            </w:pPr>
            <w:r>
              <w:rPr>
                <w:rFonts w:hint="eastAsia"/>
                <w:color w:val="auto"/>
                <w:lang w:val="en-US" w:eastAsia="zh-CN"/>
              </w:rPr>
              <w:t>0.95</w:t>
            </w:r>
          </w:p>
        </w:tc>
        <w:tc>
          <w:tcPr>
            <w:tcW w:w="1275" w:type="dxa"/>
            <w:tcBorders>
              <w:top w:val="single" w:color="FFFFFF" w:sz="8" w:space="0"/>
              <w:left w:val="single" w:color="FFFFFF" w:sz="8" w:space="0"/>
              <w:bottom w:val="single" w:color="FFFFFF" w:sz="8" w:space="0"/>
              <w:right w:val="single" w:color="FFFFFF" w:sz="8" w:space="0"/>
            </w:tcBorders>
            <w:shd w:val="clear" w:color="auto" w:fill="DAE3F3" w:themeFill="accent5" w:themeFillTint="32"/>
            <w:noWrap/>
            <w:vAlign w:val="center"/>
          </w:tcPr>
          <w:p>
            <w:pPr>
              <w:pStyle w:val="30"/>
              <w:rPr>
                <w:rFonts w:hint="eastAsia" w:eastAsia="仿宋"/>
                <w:color w:val="auto"/>
                <w:lang w:eastAsia="zh-CN"/>
              </w:rPr>
            </w:pPr>
            <w:r>
              <w:rPr>
                <w:rFonts w:hint="eastAsia"/>
                <w:color w:val="auto"/>
                <w:lang w:val="en-US" w:eastAsia="zh-CN"/>
              </w:rPr>
              <w:t>-</w:t>
            </w:r>
          </w:p>
        </w:tc>
        <w:tc>
          <w:tcPr>
            <w:tcW w:w="1276" w:type="dxa"/>
            <w:tcBorders>
              <w:top w:val="single" w:color="FFFFFF" w:sz="8" w:space="0"/>
              <w:left w:val="single" w:color="FFFFFF" w:sz="8" w:space="0"/>
              <w:bottom w:val="single" w:color="FFFFFF" w:sz="8" w:space="0"/>
              <w:right w:val="single" w:color="FFFFFF" w:sz="8" w:space="0"/>
            </w:tcBorders>
            <w:shd w:val="clear" w:color="auto" w:fill="DAE3F3" w:themeFill="accent5" w:themeFillTint="32"/>
            <w:noWrap/>
            <w:vAlign w:val="center"/>
          </w:tcPr>
          <w:p>
            <w:pPr>
              <w:pStyle w:val="30"/>
              <w:rPr>
                <w:rFonts w:hint="eastAsia" w:eastAsia="仿宋"/>
                <w:color w:val="auto"/>
                <w:lang w:eastAsia="zh-CN"/>
              </w:rPr>
            </w:pPr>
            <w:r>
              <w:rPr>
                <w:rFonts w:hint="eastAsia"/>
                <w:color w:val="auto"/>
                <w:lang w:val="en-US" w:eastAsia="zh-CN"/>
              </w:rPr>
              <w:t>-</w:t>
            </w:r>
          </w:p>
        </w:tc>
        <w:tc>
          <w:tcPr>
            <w:tcW w:w="1760" w:type="dxa"/>
            <w:tcBorders>
              <w:top w:val="single" w:color="FFFFFF" w:sz="8" w:space="0"/>
              <w:left w:val="single" w:color="FFFFFF" w:sz="8" w:space="0"/>
              <w:bottom w:val="single" w:color="FFFFFF" w:sz="8" w:space="0"/>
              <w:right w:val="single" w:color="FFFFFF" w:sz="8" w:space="0"/>
            </w:tcBorders>
            <w:shd w:val="clear" w:color="auto" w:fill="DAE3F3" w:themeFill="accent5" w:themeFillTint="32"/>
            <w:noWrap/>
            <w:vAlign w:val="center"/>
          </w:tcPr>
          <w:p>
            <w:pPr>
              <w:pStyle w:val="30"/>
              <w:rPr>
                <w:rFonts w:hint="eastAsia" w:eastAsia="仿宋"/>
                <w:color w:val="auto"/>
                <w:lang w:eastAsia="zh-CN"/>
              </w:rPr>
            </w:pPr>
            <w:r>
              <w:rPr>
                <w:rFonts w:hint="eastAsia"/>
                <w:color w:val="auto"/>
                <w:lang w:val="en-US" w:eastAsia="zh-CN"/>
              </w:rPr>
              <w:t>-</w:t>
            </w:r>
          </w:p>
        </w:tc>
      </w:tr>
      <w:tr>
        <w:tblPrEx>
          <w:tblLayout w:type="fixed"/>
          <w:tblCellMar>
            <w:top w:w="0" w:type="dxa"/>
            <w:left w:w="108" w:type="dxa"/>
            <w:bottom w:w="0" w:type="dxa"/>
            <w:right w:w="108" w:type="dxa"/>
          </w:tblCellMar>
        </w:tblPrEx>
        <w:trPr>
          <w:cantSplit/>
          <w:trHeight w:val="612" w:hRule="atLeast"/>
          <w:jc w:val="center"/>
        </w:trPr>
        <w:tc>
          <w:tcPr>
            <w:tcW w:w="924" w:type="dxa"/>
            <w:tcBorders>
              <w:top w:val="single" w:color="FFFFFF" w:sz="8" w:space="0"/>
              <w:left w:val="single" w:color="FFFFFF" w:sz="8" w:space="0"/>
              <w:bottom w:val="single" w:color="FFFFFF" w:sz="8" w:space="0"/>
              <w:right w:val="single" w:color="FFFFFF" w:sz="8" w:space="0"/>
            </w:tcBorders>
            <w:shd w:val="clear" w:color="auto" w:fill="EDEDED" w:themeFill="accent3" w:themeFillTint="32"/>
            <w:noWrap/>
            <w:vAlign w:val="center"/>
          </w:tcPr>
          <w:p>
            <w:pPr>
              <w:pStyle w:val="30"/>
              <w:rPr>
                <w:rFonts w:hint="eastAsia" w:eastAsia="仿宋"/>
                <w:color w:val="auto"/>
                <w:lang w:eastAsia="zh-CN"/>
              </w:rPr>
            </w:pPr>
            <w:r>
              <w:rPr>
                <w:rFonts w:hint="eastAsia"/>
                <w:color w:val="auto"/>
                <w:lang w:eastAsia="zh-CN"/>
              </w:rPr>
              <w:t>流通</w:t>
            </w:r>
          </w:p>
        </w:tc>
        <w:tc>
          <w:tcPr>
            <w:tcW w:w="1276" w:type="dxa"/>
            <w:tcBorders>
              <w:top w:val="single" w:color="FFFFFF" w:sz="8" w:space="0"/>
              <w:left w:val="single" w:color="FFFFFF" w:sz="8" w:space="0"/>
              <w:bottom w:val="single" w:color="FFFFFF" w:sz="8" w:space="0"/>
              <w:right w:val="single" w:color="FFFFFF" w:sz="8" w:space="0"/>
            </w:tcBorders>
            <w:shd w:val="clear" w:color="auto" w:fill="EDEDED" w:themeFill="accent3" w:themeFillTint="32"/>
            <w:noWrap/>
            <w:vAlign w:val="center"/>
          </w:tcPr>
          <w:p>
            <w:pPr>
              <w:pStyle w:val="30"/>
              <w:rPr>
                <w:rFonts w:hint="eastAsia" w:ascii="仿宋" w:hAnsi="仿宋" w:eastAsia="仿宋" w:cs="Times New Roman"/>
                <w:color w:val="auto"/>
                <w:spacing w:val="-8"/>
                <w:kern w:val="0"/>
                <w:sz w:val="24"/>
                <w:szCs w:val="24"/>
                <w:lang w:val="en-US" w:eastAsia="zh-CN" w:bidi="ar-SA"/>
              </w:rPr>
            </w:pPr>
            <w:r>
              <w:rPr>
                <w:rFonts w:hint="eastAsia"/>
                <w:color w:val="auto"/>
              </w:rPr>
              <w:t>10864</w:t>
            </w:r>
          </w:p>
        </w:tc>
        <w:tc>
          <w:tcPr>
            <w:tcW w:w="1276" w:type="dxa"/>
            <w:tcBorders>
              <w:top w:val="single" w:color="FFFFFF" w:sz="8" w:space="0"/>
              <w:left w:val="single" w:color="FFFFFF" w:sz="8" w:space="0"/>
              <w:bottom w:val="single" w:color="FFFFFF" w:sz="8" w:space="0"/>
              <w:right w:val="single" w:color="FFFFFF" w:sz="8" w:space="0"/>
            </w:tcBorders>
            <w:shd w:val="clear" w:color="auto" w:fill="EDEDED" w:themeFill="accent3" w:themeFillTint="32"/>
            <w:noWrap/>
            <w:vAlign w:val="center"/>
          </w:tcPr>
          <w:p>
            <w:pPr>
              <w:pStyle w:val="30"/>
              <w:rPr>
                <w:rFonts w:hint="eastAsia" w:ascii="仿宋" w:hAnsi="仿宋" w:eastAsia="仿宋" w:cs="Times New Roman"/>
                <w:color w:val="auto"/>
                <w:spacing w:val="-8"/>
                <w:kern w:val="0"/>
                <w:sz w:val="24"/>
                <w:szCs w:val="24"/>
                <w:lang w:val="en-US" w:eastAsia="zh-CN" w:bidi="ar-SA"/>
              </w:rPr>
            </w:pPr>
            <w:r>
              <w:rPr>
                <w:rFonts w:hint="eastAsia"/>
                <w:color w:val="auto"/>
              </w:rPr>
              <w:t>94</w:t>
            </w:r>
          </w:p>
        </w:tc>
        <w:tc>
          <w:tcPr>
            <w:tcW w:w="1843" w:type="dxa"/>
            <w:tcBorders>
              <w:top w:val="single" w:color="FFFFFF" w:sz="8" w:space="0"/>
              <w:left w:val="single" w:color="FFFFFF" w:sz="8" w:space="0"/>
              <w:bottom w:val="single" w:color="FFFFFF" w:sz="8" w:space="0"/>
              <w:right w:val="single" w:color="FFFFFF" w:sz="8" w:space="0"/>
            </w:tcBorders>
            <w:shd w:val="clear" w:color="auto" w:fill="EDEDED" w:themeFill="accent3" w:themeFillTint="32"/>
            <w:noWrap/>
            <w:vAlign w:val="center"/>
          </w:tcPr>
          <w:p>
            <w:pPr>
              <w:pStyle w:val="30"/>
              <w:rPr>
                <w:rFonts w:hint="eastAsia" w:ascii="仿宋" w:hAnsi="仿宋" w:eastAsia="仿宋" w:cs="Times New Roman"/>
                <w:color w:val="auto"/>
                <w:spacing w:val="-8"/>
                <w:kern w:val="0"/>
                <w:sz w:val="24"/>
                <w:szCs w:val="24"/>
                <w:lang w:val="en-US" w:eastAsia="zh-CN" w:bidi="ar-SA"/>
              </w:rPr>
            </w:pPr>
            <w:r>
              <w:rPr>
                <w:rFonts w:hint="eastAsia"/>
                <w:color w:val="auto"/>
              </w:rPr>
              <w:t>0.87</w:t>
            </w:r>
          </w:p>
        </w:tc>
        <w:tc>
          <w:tcPr>
            <w:tcW w:w="1275" w:type="dxa"/>
            <w:tcBorders>
              <w:top w:val="single" w:color="FFFFFF" w:sz="8" w:space="0"/>
              <w:left w:val="single" w:color="FFFFFF" w:sz="8" w:space="0"/>
              <w:bottom w:val="single" w:color="FFFFFF" w:sz="8" w:space="0"/>
              <w:right w:val="single" w:color="FFFFFF" w:sz="8" w:space="0"/>
            </w:tcBorders>
            <w:shd w:val="clear" w:color="auto" w:fill="EDEDED" w:themeFill="accent3" w:themeFillTint="32"/>
            <w:noWrap/>
            <w:vAlign w:val="center"/>
          </w:tcPr>
          <w:p>
            <w:pPr>
              <w:pStyle w:val="30"/>
              <w:rPr>
                <w:rFonts w:hint="eastAsia" w:ascii="仿宋" w:hAnsi="仿宋" w:eastAsia="仿宋" w:cs="Times New Roman"/>
                <w:color w:val="auto"/>
                <w:spacing w:val="-8"/>
                <w:kern w:val="0"/>
                <w:sz w:val="24"/>
                <w:szCs w:val="24"/>
                <w:lang w:val="en-US" w:eastAsia="zh-CN" w:bidi="ar-SA"/>
              </w:rPr>
            </w:pPr>
            <w:r>
              <w:rPr>
                <w:rFonts w:hint="eastAsia"/>
                <w:color w:val="auto"/>
              </w:rPr>
              <w:t>3536</w:t>
            </w:r>
          </w:p>
        </w:tc>
        <w:tc>
          <w:tcPr>
            <w:tcW w:w="1276" w:type="dxa"/>
            <w:tcBorders>
              <w:top w:val="single" w:color="FFFFFF" w:sz="8" w:space="0"/>
              <w:left w:val="single" w:color="FFFFFF" w:sz="8" w:space="0"/>
              <w:bottom w:val="single" w:color="FFFFFF" w:sz="8" w:space="0"/>
              <w:right w:val="single" w:color="FFFFFF" w:sz="8" w:space="0"/>
            </w:tcBorders>
            <w:shd w:val="clear" w:color="auto" w:fill="EDEDED" w:themeFill="accent3" w:themeFillTint="32"/>
            <w:noWrap/>
            <w:vAlign w:val="center"/>
          </w:tcPr>
          <w:p>
            <w:pPr>
              <w:pStyle w:val="30"/>
              <w:rPr>
                <w:rFonts w:hint="eastAsia" w:ascii="仿宋" w:hAnsi="仿宋" w:eastAsia="仿宋" w:cs="Times New Roman"/>
                <w:color w:val="auto"/>
                <w:spacing w:val="-8"/>
                <w:kern w:val="0"/>
                <w:sz w:val="24"/>
                <w:szCs w:val="24"/>
                <w:lang w:val="en-US" w:eastAsia="zh-CN" w:bidi="ar-SA"/>
              </w:rPr>
            </w:pPr>
            <w:r>
              <w:rPr>
                <w:rFonts w:hint="eastAsia"/>
                <w:color w:val="auto"/>
              </w:rPr>
              <w:t>33</w:t>
            </w:r>
          </w:p>
        </w:tc>
        <w:tc>
          <w:tcPr>
            <w:tcW w:w="1760" w:type="dxa"/>
            <w:tcBorders>
              <w:top w:val="single" w:color="FFFFFF" w:sz="8" w:space="0"/>
              <w:left w:val="single" w:color="FFFFFF" w:sz="8" w:space="0"/>
              <w:bottom w:val="single" w:color="FFFFFF" w:sz="8" w:space="0"/>
              <w:right w:val="single" w:color="FFFFFF" w:sz="8" w:space="0"/>
            </w:tcBorders>
            <w:shd w:val="clear" w:color="auto" w:fill="EDEDED" w:themeFill="accent3" w:themeFillTint="32"/>
            <w:noWrap/>
            <w:vAlign w:val="center"/>
          </w:tcPr>
          <w:p>
            <w:pPr>
              <w:pStyle w:val="30"/>
              <w:rPr>
                <w:rFonts w:hint="eastAsia" w:ascii="仿宋" w:hAnsi="仿宋" w:eastAsia="仿宋" w:cs="Times New Roman"/>
                <w:color w:val="auto"/>
                <w:spacing w:val="-8"/>
                <w:kern w:val="0"/>
                <w:sz w:val="24"/>
                <w:szCs w:val="24"/>
                <w:lang w:val="en-US" w:eastAsia="zh-CN" w:bidi="ar-SA"/>
              </w:rPr>
            </w:pPr>
            <w:r>
              <w:rPr>
                <w:rFonts w:hint="eastAsia"/>
                <w:color w:val="auto"/>
              </w:rPr>
              <w:t>0.93</w:t>
            </w:r>
          </w:p>
        </w:tc>
      </w:tr>
      <w:tr>
        <w:tblPrEx>
          <w:tblLayout w:type="fixed"/>
          <w:tblCellMar>
            <w:top w:w="0" w:type="dxa"/>
            <w:left w:w="108" w:type="dxa"/>
            <w:bottom w:w="0" w:type="dxa"/>
            <w:right w:w="108" w:type="dxa"/>
          </w:tblCellMar>
        </w:tblPrEx>
        <w:trPr>
          <w:cantSplit/>
          <w:trHeight w:val="612" w:hRule="atLeast"/>
          <w:jc w:val="center"/>
        </w:trPr>
        <w:tc>
          <w:tcPr>
            <w:tcW w:w="924" w:type="dxa"/>
            <w:tcBorders>
              <w:top w:val="single" w:color="FFFFFF" w:sz="8" w:space="0"/>
              <w:left w:val="single" w:color="FFFFFF" w:sz="8" w:space="0"/>
              <w:bottom w:val="single" w:color="FFFFFF" w:sz="8" w:space="0"/>
              <w:right w:val="single" w:color="FFFFFF" w:sz="8" w:space="0"/>
            </w:tcBorders>
            <w:shd w:val="clear" w:color="auto" w:fill="DAE3F3" w:themeFill="accent5" w:themeFillTint="32"/>
            <w:noWrap/>
            <w:vAlign w:val="center"/>
          </w:tcPr>
          <w:p>
            <w:pPr>
              <w:pStyle w:val="30"/>
              <w:rPr>
                <w:rFonts w:hint="eastAsia" w:eastAsia="仿宋"/>
                <w:color w:val="auto"/>
                <w:lang w:eastAsia="zh-CN"/>
              </w:rPr>
            </w:pPr>
            <w:r>
              <w:rPr>
                <w:rFonts w:hint="eastAsia"/>
                <w:color w:val="auto"/>
                <w:lang w:eastAsia="zh-CN"/>
              </w:rPr>
              <w:t>餐饮</w:t>
            </w:r>
          </w:p>
        </w:tc>
        <w:tc>
          <w:tcPr>
            <w:tcW w:w="1276" w:type="dxa"/>
            <w:tcBorders>
              <w:top w:val="single" w:color="FFFFFF" w:sz="8" w:space="0"/>
              <w:left w:val="single" w:color="FFFFFF" w:sz="8" w:space="0"/>
              <w:bottom w:val="single" w:color="FFFFFF" w:sz="8" w:space="0"/>
              <w:right w:val="single" w:color="FFFFFF" w:sz="8" w:space="0"/>
            </w:tcBorders>
            <w:shd w:val="clear" w:color="auto" w:fill="DAE3F3" w:themeFill="accent5" w:themeFillTint="32"/>
            <w:noWrap/>
            <w:vAlign w:val="center"/>
          </w:tcPr>
          <w:p>
            <w:pPr>
              <w:pStyle w:val="30"/>
              <w:rPr>
                <w:rFonts w:hint="eastAsia" w:ascii="仿宋" w:hAnsi="仿宋" w:eastAsia="仿宋" w:cs="Times New Roman"/>
                <w:color w:val="auto"/>
                <w:spacing w:val="-8"/>
                <w:kern w:val="0"/>
                <w:sz w:val="24"/>
                <w:szCs w:val="24"/>
                <w:lang w:val="en-US" w:eastAsia="zh-CN" w:bidi="ar-SA"/>
              </w:rPr>
            </w:pPr>
            <w:r>
              <w:rPr>
                <w:rFonts w:hint="eastAsia"/>
                <w:color w:val="auto"/>
              </w:rPr>
              <w:t>11602</w:t>
            </w:r>
          </w:p>
        </w:tc>
        <w:tc>
          <w:tcPr>
            <w:tcW w:w="1276" w:type="dxa"/>
            <w:tcBorders>
              <w:top w:val="single" w:color="FFFFFF" w:sz="8" w:space="0"/>
              <w:left w:val="single" w:color="FFFFFF" w:sz="8" w:space="0"/>
              <w:bottom w:val="single" w:color="FFFFFF" w:sz="8" w:space="0"/>
              <w:right w:val="single" w:color="FFFFFF" w:sz="8" w:space="0"/>
            </w:tcBorders>
            <w:shd w:val="clear" w:color="auto" w:fill="DAE3F3" w:themeFill="accent5" w:themeFillTint="32"/>
            <w:noWrap/>
            <w:vAlign w:val="center"/>
          </w:tcPr>
          <w:p>
            <w:pPr>
              <w:pStyle w:val="30"/>
              <w:rPr>
                <w:rFonts w:hint="eastAsia" w:ascii="仿宋" w:hAnsi="仿宋" w:eastAsia="仿宋" w:cs="Times New Roman"/>
                <w:color w:val="auto"/>
                <w:spacing w:val="-8"/>
                <w:kern w:val="0"/>
                <w:sz w:val="24"/>
                <w:szCs w:val="24"/>
                <w:lang w:val="en-US" w:eastAsia="zh-CN" w:bidi="ar-SA"/>
              </w:rPr>
            </w:pPr>
            <w:r>
              <w:rPr>
                <w:rFonts w:hint="eastAsia"/>
                <w:color w:val="auto"/>
              </w:rPr>
              <w:t>48</w:t>
            </w:r>
          </w:p>
        </w:tc>
        <w:tc>
          <w:tcPr>
            <w:tcW w:w="1843" w:type="dxa"/>
            <w:tcBorders>
              <w:top w:val="single" w:color="FFFFFF" w:sz="8" w:space="0"/>
              <w:left w:val="single" w:color="FFFFFF" w:sz="8" w:space="0"/>
              <w:bottom w:val="single" w:color="FFFFFF" w:sz="8" w:space="0"/>
              <w:right w:val="single" w:color="FFFFFF" w:sz="8" w:space="0"/>
            </w:tcBorders>
            <w:shd w:val="clear" w:color="auto" w:fill="DAE3F3" w:themeFill="accent5" w:themeFillTint="32"/>
            <w:noWrap/>
            <w:vAlign w:val="center"/>
          </w:tcPr>
          <w:p>
            <w:pPr>
              <w:pStyle w:val="30"/>
              <w:rPr>
                <w:rFonts w:hint="eastAsia" w:ascii="仿宋" w:hAnsi="仿宋" w:eastAsia="仿宋" w:cs="Times New Roman"/>
                <w:color w:val="auto"/>
                <w:spacing w:val="-8"/>
                <w:kern w:val="0"/>
                <w:sz w:val="24"/>
                <w:szCs w:val="24"/>
                <w:lang w:val="en-US" w:eastAsia="zh-CN" w:bidi="ar-SA"/>
              </w:rPr>
            </w:pPr>
            <w:r>
              <w:rPr>
                <w:rFonts w:hint="eastAsia"/>
                <w:color w:val="auto"/>
              </w:rPr>
              <w:t>0.41</w:t>
            </w:r>
          </w:p>
        </w:tc>
        <w:tc>
          <w:tcPr>
            <w:tcW w:w="1275" w:type="dxa"/>
            <w:tcBorders>
              <w:top w:val="single" w:color="FFFFFF" w:sz="8" w:space="0"/>
              <w:left w:val="single" w:color="FFFFFF" w:sz="8" w:space="0"/>
              <w:bottom w:val="single" w:color="FFFFFF" w:sz="8" w:space="0"/>
              <w:right w:val="single" w:color="FFFFFF" w:sz="8" w:space="0"/>
            </w:tcBorders>
            <w:shd w:val="clear" w:color="auto" w:fill="DAE3F3" w:themeFill="accent5" w:themeFillTint="32"/>
            <w:noWrap/>
            <w:vAlign w:val="center"/>
          </w:tcPr>
          <w:p>
            <w:pPr>
              <w:pStyle w:val="30"/>
              <w:rPr>
                <w:rFonts w:hint="eastAsia" w:ascii="仿宋" w:hAnsi="仿宋" w:eastAsia="仿宋" w:cs="Times New Roman"/>
                <w:color w:val="auto"/>
                <w:spacing w:val="-8"/>
                <w:kern w:val="0"/>
                <w:sz w:val="24"/>
                <w:szCs w:val="24"/>
                <w:lang w:val="en-US" w:eastAsia="zh-CN" w:bidi="ar-SA"/>
              </w:rPr>
            </w:pPr>
            <w:r>
              <w:rPr>
                <w:rFonts w:hint="eastAsia"/>
                <w:color w:val="auto"/>
              </w:rPr>
              <w:t>7008</w:t>
            </w:r>
          </w:p>
        </w:tc>
        <w:tc>
          <w:tcPr>
            <w:tcW w:w="1276" w:type="dxa"/>
            <w:tcBorders>
              <w:top w:val="single" w:color="FFFFFF" w:sz="8" w:space="0"/>
              <w:left w:val="single" w:color="FFFFFF" w:sz="8" w:space="0"/>
              <w:bottom w:val="single" w:color="FFFFFF" w:sz="8" w:space="0"/>
              <w:right w:val="single" w:color="FFFFFF" w:sz="8" w:space="0"/>
            </w:tcBorders>
            <w:shd w:val="clear" w:color="auto" w:fill="DAE3F3" w:themeFill="accent5" w:themeFillTint="32"/>
            <w:noWrap/>
            <w:vAlign w:val="center"/>
          </w:tcPr>
          <w:p>
            <w:pPr>
              <w:pStyle w:val="30"/>
              <w:rPr>
                <w:rFonts w:hint="eastAsia" w:ascii="仿宋" w:hAnsi="仿宋" w:eastAsia="仿宋" w:cs="Times New Roman"/>
                <w:color w:val="auto"/>
                <w:spacing w:val="-8"/>
                <w:kern w:val="0"/>
                <w:sz w:val="24"/>
                <w:szCs w:val="24"/>
                <w:lang w:val="en-US" w:eastAsia="zh-CN" w:bidi="ar-SA"/>
              </w:rPr>
            </w:pPr>
            <w:r>
              <w:rPr>
                <w:rFonts w:hint="eastAsia"/>
                <w:color w:val="auto"/>
              </w:rPr>
              <w:t>123</w:t>
            </w:r>
          </w:p>
        </w:tc>
        <w:tc>
          <w:tcPr>
            <w:tcW w:w="1760" w:type="dxa"/>
            <w:tcBorders>
              <w:top w:val="single" w:color="FFFFFF" w:sz="8" w:space="0"/>
              <w:left w:val="single" w:color="FFFFFF" w:sz="8" w:space="0"/>
              <w:bottom w:val="single" w:color="FFFFFF" w:sz="8" w:space="0"/>
              <w:right w:val="single" w:color="FFFFFF" w:sz="8" w:space="0"/>
            </w:tcBorders>
            <w:shd w:val="clear" w:color="auto" w:fill="DAE3F3" w:themeFill="accent5" w:themeFillTint="32"/>
            <w:noWrap/>
            <w:vAlign w:val="center"/>
          </w:tcPr>
          <w:p>
            <w:pPr>
              <w:pStyle w:val="30"/>
              <w:rPr>
                <w:rFonts w:hint="eastAsia" w:ascii="仿宋" w:hAnsi="仿宋" w:eastAsia="仿宋" w:cs="Times New Roman"/>
                <w:color w:val="auto"/>
                <w:spacing w:val="-8"/>
                <w:kern w:val="0"/>
                <w:sz w:val="24"/>
                <w:szCs w:val="24"/>
                <w:lang w:val="en-US" w:eastAsia="zh-CN" w:bidi="ar-SA"/>
              </w:rPr>
            </w:pPr>
            <w:r>
              <w:rPr>
                <w:rFonts w:hint="eastAsia"/>
                <w:color w:val="auto"/>
              </w:rPr>
              <w:t>1.76</w:t>
            </w:r>
          </w:p>
        </w:tc>
      </w:tr>
      <w:tr>
        <w:tblPrEx>
          <w:tblLayout w:type="fixed"/>
          <w:tblCellMar>
            <w:top w:w="0" w:type="dxa"/>
            <w:left w:w="108" w:type="dxa"/>
            <w:bottom w:w="0" w:type="dxa"/>
            <w:right w:w="108" w:type="dxa"/>
          </w:tblCellMar>
        </w:tblPrEx>
        <w:trPr>
          <w:cantSplit/>
          <w:trHeight w:val="612" w:hRule="atLeast"/>
          <w:jc w:val="center"/>
        </w:trPr>
        <w:tc>
          <w:tcPr>
            <w:tcW w:w="924" w:type="dxa"/>
            <w:tcBorders>
              <w:top w:val="single" w:color="FFFFFF" w:sz="8" w:space="0"/>
              <w:left w:val="single" w:color="FFFFFF" w:sz="8" w:space="0"/>
              <w:bottom w:val="single" w:color="FFFFFF" w:sz="8" w:space="0"/>
              <w:right w:val="single" w:color="FFFFFF" w:sz="8" w:space="0"/>
            </w:tcBorders>
            <w:shd w:val="clear" w:color="auto" w:fill="EDEDED" w:themeFill="accent3" w:themeFillTint="32"/>
            <w:noWrap/>
            <w:vAlign w:val="center"/>
          </w:tcPr>
          <w:p>
            <w:pPr>
              <w:pStyle w:val="30"/>
              <w:rPr>
                <w:rFonts w:hint="eastAsia" w:eastAsia="仿宋"/>
                <w:color w:val="auto"/>
                <w:lang w:eastAsia="zh-CN"/>
              </w:rPr>
            </w:pPr>
            <w:r>
              <w:rPr>
                <w:rFonts w:hint="eastAsia"/>
                <w:color w:val="auto"/>
                <w:lang w:eastAsia="zh-CN"/>
              </w:rPr>
              <w:t>合计</w:t>
            </w:r>
          </w:p>
        </w:tc>
        <w:tc>
          <w:tcPr>
            <w:tcW w:w="1276" w:type="dxa"/>
            <w:tcBorders>
              <w:top w:val="single" w:color="FFFFFF" w:sz="8" w:space="0"/>
              <w:left w:val="single" w:color="FFFFFF" w:sz="8" w:space="0"/>
              <w:bottom w:val="single" w:color="FFFFFF" w:sz="8" w:space="0"/>
              <w:right w:val="single" w:color="FFFFFF" w:sz="8" w:space="0"/>
            </w:tcBorders>
            <w:shd w:val="clear" w:color="auto" w:fill="EDEDED" w:themeFill="accent3" w:themeFillTint="32"/>
            <w:noWrap/>
            <w:vAlign w:val="center"/>
          </w:tcPr>
          <w:p>
            <w:pPr>
              <w:pStyle w:val="30"/>
              <w:rPr>
                <w:rFonts w:hint="default" w:eastAsia="仿宋"/>
                <w:color w:val="auto"/>
                <w:lang w:val="en-US" w:eastAsia="zh-CN"/>
              </w:rPr>
            </w:pPr>
            <w:r>
              <w:rPr>
                <w:rFonts w:hint="eastAsia"/>
                <w:color w:val="auto"/>
                <w:lang w:val="en-US" w:eastAsia="zh-CN"/>
              </w:rPr>
              <w:t>25843</w:t>
            </w:r>
          </w:p>
        </w:tc>
        <w:tc>
          <w:tcPr>
            <w:tcW w:w="1276" w:type="dxa"/>
            <w:tcBorders>
              <w:top w:val="single" w:color="FFFFFF" w:sz="8" w:space="0"/>
              <w:left w:val="single" w:color="FFFFFF" w:sz="8" w:space="0"/>
              <w:bottom w:val="single" w:color="FFFFFF" w:sz="8" w:space="0"/>
              <w:right w:val="single" w:color="FFFFFF" w:sz="8" w:space="0"/>
            </w:tcBorders>
            <w:shd w:val="clear" w:color="auto" w:fill="EDEDED" w:themeFill="accent3" w:themeFillTint="32"/>
            <w:noWrap/>
            <w:vAlign w:val="center"/>
          </w:tcPr>
          <w:p>
            <w:pPr>
              <w:pStyle w:val="30"/>
              <w:rPr>
                <w:rFonts w:hint="default" w:eastAsia="仿宋"/>
                <w:color w:val="auto"/>
                <w:lang w:val="en-US" w:eastAsia="zh-CN"/>
              </w:rPr>
            </w:pPr>
            <w:r>
              <w:rPr>
                <w:rFonts w:hint="eastAsia"/>
                <w:color w:val="auto"/>
                <w:lang w:val="en-US" w:eastAsia="zh-CN"/>
              </w:rPr>
              <w:t>174</w:t>
            </w:r>
          </w:p>
        </w:tc>
        <w:tc>
          <w:tcPr>
            <w:tcW w:w="1843" w:type="dxa"/>
            <w:tcBorders>
              <w:top w:val="single" w:color="FFFFFF" w:sz="8" w:space="0"/>
              <w:left w:val="single" w:color="FFFFFF" w:sz="8" w:space="0"/>
              <w:bottom w:val="single" w:color="FFFFFF" w:sz="8" w:space="0"/>
              <w:right w:val="single" w:color="FFFFFF" w:sz="8" w:space="0"/>
            </w:tcBorders>
            <w:shd w:val="clear" w:color="auto" w:fill="EDEDED" w:themeFill="accent3" w:themeFillTint="32"/>
            <w:noWrap/>
            <w:vAlign w:val="center"/>
          </w:tcPr>
          <w:p>
            <w:pPr>
              <w:pStyle w:val="30"/>
              <w:rPr>
                <w:rFonts w:hint="default" w:eastAsia="仿宋"/>
                <w:color w:val="auto"/>
                <w:lang w:val="en-US" w:eastAsia="zh-CN"/>
              </w:rPr>
            </w:pPr>
            <w:r>
              <w:rPr>
                <w:rFonts w:hint="eastAsia"/>
                <w:color w:val="auto"/>
                <w:lang w:val="en-US" w:eastAsia="zh-CN"/>
              </w:rPr>
              <w:t>0.67</w:t>
            </w:r>
          </w:p>
        </w:tc>
        <w:tc>
          <w:tcPr>
            <w:tcW w:w="1275" w:type="dxa"/>
            <w:tcBorders>
              <w:top w:val="single" w:color="FFFFFF" w:sz="8" w:space="0"/>
              <w:left w:val="single" w:color="FFFFFF" w:sz="8" w:space="0"/>
              <w:bottom w:val="single" w:color="FFFFFF" w:sz="8" w:space="0"/>
              <w:right w:val="single" w:color="FFFFFF" w:sz="8" w:space="0"/>
            </w:tcBorders>
            <w:shd w:val="clear" w:color="auto" w:fill="EDEDED" w:themeFill="accent3" w:themeFillTint="32"/>
            <w:noWrap/>
            <w:vAlign w:val="center"/>
          </w:tcPr>
          <w:p>
            <w:pPr>
              <w:pStyle w:val="30"/>
              <w:rPr>
                <w:rFonts w:hint="default" w:eastAsia="仿宋"/>
                <w:color w:val="auto"/>
                <w:lang w:val="en-US" w:eastAsia="zh-CN"/>
              </w:rPr>
            </w:pPr>
            <w:r>
              <w:rPr>
                <w:rFonts w:hint="eastAsia"/>
                <w:color w:val="auto"/>
                <w:lang w:val="en-US" w:eastAsia="zh-CN"/>
              </w:rPr>
              <w:t>10544</w:t>
            </w:r>
          </w:p>
        </w:tc>
        <w:tc>
          <w:tcPr>
            <w:tcW w:w="1276" w:type="dxa"/>
            <w:tcBorders>
              <w:top w:val="single" w:color="FFFFFF" w:sz="8" w:space="0"/>
              <w:left w:val="single" w:color="FFFFFF" w:sz="8" w:space="0"/>
              <w:bottom w:val="single" w:color="FFFFFF" w:sz="8" w:space="0"/>
              <w:right w:val="single" w:color="FFFFFF" w:sz="8" w:space="0"/>
            </w:tcBorders>
            <w:shd w:val="clear" w:color="auto" w:fill="EDEDED" w:themeFill="accent3" w:themeFillTint="32"/>
            <w:noWrap/>
            <w:vAlign w:val="center"/>
          </w:tcPr>
          <w:p>
            <w:pPr>
              <w:pStyle w:val="30"/>
              <w:rPr>
                <w:rFonts w:hint="default" w:eastAsia="仿宋"/>
                <w:color w:val="auto"/>
                <w:lang w:val="en-US" w:eastAsia="zh-CN"/>
              </w:rPr>
            </w:pPr>
            <w:r>
              <w:rPr>
                <w:rFonts w:hint="eastAsia"/>
                <w:color w:val="auto"/>
                <w:lang w:val="en-US" w:eastAsia="zh-CN"/>
              </w:rPr>
              <w:t>156</w:t>
            </w:r>
          </w:p>
        </w:tc>
        <w:tc>
          <w:tcPr>
            <w:tcW w:w="1760" w:type="dxa"/>
            <w:tcBorders>
              <w:top w:val="single" w:color="FFFFFF" w:sz="8" w:space="0"/>
              <w:left w:val="single" w:color="FFFFFF" w:sz="8" w:space="0"/>
              <w:bottom w:val="single" w:color="FFFFFF" w:sz="8" w:space="0"/>
              <w:right w:val="single" w:color="FFFFFF" w:sz="8" w:space="0"/>
            </w:tcBorders>
            <w:shd w:val="clear" w:color="auto" w:fill="EDEDED" w:themeFill="accent3" w:themeFillTint="32"/>
            <w:noWrap/>
            <w:vAlign w:val="center"/>
          </w:tcPr>
          <w:p>
            <w:pPr>
              <w:pStyle w:val="30"/>
              <w:rPr>
                <w:rFonts w:hint="default" w:eastAsia="仿宋"/>
                <w:color w:val="auto"/>
                <w:lang w:val="en-US" w:eastAsia="zh-CN"/>
              </w:rPr>
            </w:pPr>
            <w:r>
              <w:rPr>
                <w:rFonts w:hint="eastAsia"/>
                <w:color w:val="auto"/>
                <w:lang w:val="en-US" w:eastAsia="zh-CN"/>
              </w:rPr>
              <w:t>1.48</w:t>
            </w:r>
          </w:p>
        </w:tc>
      </w:tr>
    </w:tbl>
    <w:p>
      <w:pPr>
        <w:pStyle w:val="4"/>
        <w:spacing w:before="360"/>
        <w:rPr>
          <w:rFonts w:hint="eastAsia"/>
          <w:color w:val="auto"/>
          <w:lang w:eastAsia="zh-CN"/>
        </w:rPr>
      </w:pPr>
      <w:bookmarkStart w:id="112" w:name="_Toc10109"/>
      <w:bookmarkStart w:id="113" w:name="_Toc42087576"/>
      <w:bookmarkStart w:id="114" w:name="_Toc32137"/>
      <w:r>
        <w:drawing>
          <wp:inline distT="0" distB="0" distL="114300" distR="114300">
            <wp:extent cx="5686425" cy="3108325"/>
            <wp:effectExtent l="0" t="0" r="9525" b="15875"/>
            <wp:docPr id="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28"/>
        <w:spacing w:after="120"/>
        <w:rPr>
          <w:color w:val="auto"/>
        </w:rPr>
      </w:pPr>
      <w:r>
        <w:rPr>
          <w:rFonts w:hint="eastAsia"/>
          <w:color w:val="auto"/>
        </w:rPr>
        <w:t>图2</w:t>
      </w:r>
      <w:r>
        <w:rPr>
          <w:color w:val="auto"/>
        </w:rPr>
        <w:t>-</w:t>
      </w:r>
      <w:r>
        <w:rPr>
          <w:rFonts w:hint="eastAsia"/>
          <w:color w:val="auto"/>
          <w:lang w:val="en-US" w:eastAsia="zh-CN"/>
        </w:rPr>
        <w:t>5</w:t>
      </w:r>
      <w:r>
        <w:rPr>
          <w:rFonts w:hint="eastAsia"/>
          <w:color w:val="auto"/>
        </w:rPr>
        <w:t xml:space="preserve">  </w:t>
      </w:r>
      <w:r>
        <w:rPr>
          <w:color w:val="auto"/>
        </w:rPr>
        <w:t>2019</w:t>
      </w:r>
      <w:r>
        <w:rPr>
          <w:rFonts w:hint="eastAsia"/>
          <w:color w:val="auto"/>
        </w:rPr>
        <w:t>年</w:t>
      </w:r>
      <w:r>
        <w:rPr>
          <w:rFonts w:hint="eastAsia"/>
          <w:color w:val="auto"/>
          <w:lang w:eastAsia="zh-CN"/>
        </w:rPr>
        <w:t>日常</w:t>
      </w:r>
      <w:r>
        <w:rPr>
          <w:rFonts w:hint="eastAsia"/>
          <w:color w:val="auto"/>
        </w:rPr>
        <w:t>监督</w:t>
      </w:r>
      <w:r>
        <w:rPr>
          <w:rFonts w:hint="eastAsia"/>
          <w:color w:val="auto"/>
          <w:lang w:eastAsia="zh-CN"/>
        </w:rPr>
        <w:t>重点业态与其他业态</w:t>
      </w:r>
      <w:r>
        <w:rPr>
          <w:rFonts w:hint="eastAsia"/>
          <w:color w:val="auto"/>
        </w:rPr>
        <w:t>抽检</w:t>
      </w:r>
      <w:r>
        <w:rPr>
          <w:rFonts w:hint="eastAsia"/>
          <w:color w:val="auto"/>
          <w:lang w:eastAsia="zh-CN"/>
        </w:rPr>
        <w:t>情况</w:t>
      </w:r>
      <w:r>
        <w:rPr>
          <w:rFonts w:hint="eastAsia"/>
          <w:color w:val="auto"/>
        </w:rPr>
        <w:t>对比</w:t>
      </w:r>
    </w:p>
    <w:p>
      <w:pPr>
        <w:rPr>
          <w:rFonts w:hint="eastAsia"/>
          <w:lang w:eastAsia="zh-CN"/>
        </w:rPr>
      </w:pPr>
    </w:p>
    <w:p>
      <w:pPr>
        <w:pStyle w:val="4"/>
        <w:spacing w:before="360"/>
        <w:ind w:firstLine="643" w:firstLineChars="200"/>
        <w:rPr>
          <w:rFonts w:hint="eastAsia"/>
          <w:color w:val="auto"/>
        </w:rPr>
      </w:pPr>
      <w:r>
        <w:rPr>
          <w:rFonts w:hint="eastAsia"/>
          <w:color w:val="auto"/>
          <w:lang w:eastAsia="zh-CN"/>
        </w:rPr>
        <w:t>四、</w:t>
      </w:r>
      <w:r>
        <w:rPr>
          <w:rFonts w:hint="eastAsia"/>
          <w:color w:val="auto"/>
        </w:rPr>
        <w:t>日常监督各行政区抽检情况</w:t>
      </w:r>
      <w:bookmarkEnd w:id="112"/>
      <w:bookmarkEnd w:id="113"/>
      <w:bookmarkEnd w:id="114"/>
    </w:p>
    <w:p>
      <w:pPr>
        <w:pStyle w:val="25"/>
        <w:ind w:firstLine="640"/>
        <w:rPr>
          <w:rFonts w:ascii="仿宋" w:hAnsi="仿宋"/>
          <w:color w:val="auto"/>
          <w:szCs w:val="32"/>
        </w:rPr>
      </w:pPr>
      <w:r>
        <w:rPr>
          <w:rFonts w:hint="eastAsia"/>
          <w:color w:val="auto"/>
        </w:rPr>
        <w:t>2</w:t>
      </w:r>
      <w:r>
        <w:rPr>
          <w:color w:val="auto"/>
        </w:rPr>
        <w:t>019</w:t>
      </w:r>
      <w:r>
        <w:rPr>
          <w:rFonts w:hint="eastAsia"/>
          <w:color w:val="auto"/>
        </w:rPr>
        <w:t>年我市</w:t>
      </w:r>
      <w:r>
        <w:rPr>
          <w:color w:val="auto"/>
        </w:rPr>
        <w:t>11</w:t>
      </w:r>
      <w:r>
        <w:rPr>
          <w:rFonts w:hint="eastAsia"/>
          <w:color w:val="auto"/>
        </w:rPr>
        <w:t>个行政区域根据分配批次数完成抽检计划，各区日常监督抽检问题发现率在0</w:t>
      </w:r>
      <w:r>
        <w:rPr>
          <w:color w:val="auto"/>
        </w:rPr>
        <w:t>.00</w:t>
      </w:r>
      <w:r>
        <w:rPr>
          <w:rFonts w:hint="eastAsia"/>
          <w:color w:val="auto"/>
        </w:rPr>
        <w:t>%～</w:t>
      </w:r>
      <w:r>
        <w:rPr>
          <w:color w:val="auto"/>
        </w:rPr>
        <w:t>1.06</w:t>
      </w:r>
      <w:r>
        <w:rPr>
          <w:rFonts w:hint="eastAsia"/>
          <w:color w:val="auto"/>
        </w:rPr>
        <w:t>%之间（见图2</w:t>
      </w:r>
      <w:r>
        <w:rPr>
          <w:color w:val="auto"/>
        </w:rPr>
        <w:t>-</w:t>
      </w:r>
      <w:r>
        <w:rPr>
          <w:rFonts w:hint="eastAsia"/>
          <w:color w:val="auto"/>
          <w:lang w:val="en-US" w:eastAsia="zh-CN"/>
        </w:rPr>
        <w:t>6</w:t>
      </w:r>
      <w:r>
        <w:rPr>
          <w:rFonts w:hint="eastAsia"/>
          <w:color w:val="auto"/>
        </w:rPr>
        <w:t>），其中福田区、罗湖区、盐田区、龙华区、坪山区、光明区、大鹏新区、深汕特别合作区问题发现率都低于深圳市整体问题发现率（0</w:t>
      </w:r>
      <w:r>
        <w:rPr>
          <w:color w:val="auto"/>
        </w:rPr>
        <w:t>.91</w:t>
      </w:r>
      <w:r>
        <w:rPr>
          <w:rFonts w:hint="eastAsia"/>
          <w:color w:val="auto"/>
        </w:rPr>
        <w:t>%），表明深圳各区食品安全状况保持在较高水平。2</w:t>
      </w:r>
      <w:r>
        <w:rPr>
          <w:color w:val="auto"/>
        </w:rPr>
        <w:t>019</w:t>
      </w:r>
      <w:r>
        <w:rPr>
          <w:rFonts w:hint="eastAsia"/>
          <w:color w:val="auto"/>
        </w:rPr>
        <w:t>年各区抽检情况见表2</w:t>
      </w:r>
      <w:r>
        <w:rPr>
          <w:color w:val="auto"/>
        </w:rPr>
        <w:t>-</w:t>
      </w:r>
      <w:r>
        <w:rPr>
          <w:rFonts w:hint="eastAsia"/>
          <w:color w:val="auto"/>
          <w:lang w:val="en-US" w:eastAsia="zh-CN"/>
        </w:rPr>
        <w:t>3</w:t>
      </w:r>
      <w:r>
        <w:rPr>
          <w:rFonts w:hint="eastAsia"/>
          <w:color w:val="auto"/>
        </w:rPr>
        <w:t>。</w:t>
      </w:r>
    </w:p>
    <w:p>
      <w:pPr>
        <w:pStyle w:val="2"/>
        <w:rPr>
          <w:color w:val="auto"/>
        </w:rPr>
      </w:pPr>
    </w:p>
    <w:p>
      <w:pPr>
        <w:widowControl/>
        <w:jc w:val="left"/>
        <w:rPr>
          <w:rFonts w:ascii="宋体" w:hAnsi="宋体" w:cs="宋体"/>
          <w:color w:val="auto"/>
          <w:kern w:val="0"/>
          <w:sz w:val="24"/>
          <w:szCs w:val="24"/>
        </w:rPr>
      </w:pPr>
      <w:r>
        <w:rPr>
          <w:rFonts w:ascii="宋体" w:hAnsi="宋体" w:cs="宋体"/>
          <w:color w:val="auto"/>
          <w:kern w:val="0"/>
          <w:sz w:val="24"/>
          <w:szCs w:val="24"/>
        </w:rPr>
        <w:fldChar w:fldCharType="begin"/>
      </w:r>
      <w:r>
        <w:rPr>
          <w:rFonts w:ascii="宋体" w:hAnsi="宋体" w:cs="宋体"/>
          <w:color w:val="auto"/>
          <w:kern w:val="0"/>
          <w:sz w:val="24"/>
          <w:szCs w:val="24"/>
        </w:rPr>
        <w:instrText xml:space="preserve"> INCLUDEPICTURE "G:\\协议客户室每周例行会议纪要\\0227绿百分比.jpg" \* MERGEFORMATINET </w:instrText>
      </w:r>
      <w:r>
        <w:rPr>
          <w:rFonts w:ascii="宋体" w:hAnsi="宋体" w:cs="宋体"/>
          <w:color w:val="auto"/>
          <w:kern w:val="0"/>
          <w:sz w:val="24"/>
          <w:szCs w:val="24"/>
        </w:rPr>
        <w:fldChar w:fldCharType="separate"/>
      </w:r>
      <w:r>
        <w:rPr>
          <w:rFonts w:ascii="宋体" w:hAnsi="宋体" w:cs="宋体"/>
          <w:color w:val="auto"/>
          <w:kern w:val="0"/>
          <w:sz w:val="24"/>
          <w:szCs w:val="24"/>
        </w:rPr>
        <w:drawing>
          <wp:inline distT="0" distB="0" distL="114300" distR="114300">
            <wp:extent cx="5505450" cy="3107690"/>
            <wp:effectExtent l="0" t="0" r="0" b="16510"/>
            <wp:docPr id="31" name="图片 11" descr="0227绿百分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descr="0227绿百分比"/>
                    <pic:cNvPicPr>
                      <a:picLocks noChangeAspect="1"/>
                    </pic:cNvPicPr>
                  </pic:nvPicPr>
                  <pic:blipFill>
                    <a:blip r:embed="rId14"/>
                    <a:srcRect b="6065"/>
                    <a:stretch>
                      <a:fillRect/>
                    </a:stretch>
                  </pic:blipFill>
                  <pic:spPr>
                    <a:xfrm>
                      <a:off x="0" y="0"/>
                      <a:ext cx="5505450" cy="3107690"/>
                    </a:xfrm>
                    <a:prstGeom prst="rect">
                      <a:avLst/>
                    </a:prstGeom>
                    <a:noFill/>
                    <a:ln>
                      <a:noFill/>
                    </a:ln>
                  </pic:spPr>
                </pic:pic>
              </a:graphicData>
            </a:graphic>
          </wp:inline>
        </w:drawing>
      </w:r>
      <w:r>
        <w:rPr>
          <w:rFonts w:ascii="宋体" w:hAnsi="宋体" w:cs="宋体"/>
          <w:color w:val="auto"/>
          <w:kern w:val="0"/>
          <w:sz w:val="24"/>
          <w:szCs w:val="24"/>
        </w:rPr>
        <w:fldChar w:fldCharType="end"/>
      </w:r>
    </w:p>
    <w:p>
      <w:pPr>
        <w:pStyle w:val="28"/>
        <w:spacing w:after="120"/>
        <w:rPr>
          <w:color w:val="auto"/>
        </w:rPr>
      </w:pPr>
      <w:r>
        <w:rPr>
          <w:rFonts w:hint="eastAsia"/>
          <w:color w:val="auto"/>
        </w:rPr>
        <w:t>图2</w:t>
      </w:r>
      <w:r>
        <w:rPr>
          <w:color w:val="auto"/>
        </w:rPr>
        <w:t>-</w:t>
      </w:r>
      <w:r>
        <w:rPr>
          <w:rFonts w:hint="eastAsia"/>
          <w:color w:val="auto"/>
          <w:lang w:val="en-US" w:eastAsia="zh-CN"/>
        </w:rPr>
        <w:t>6</w:t>
      </w:r>
      <w:r>
        <w:rPr>
          <w:rFonts w:hint="eastAsia"/>
          <w:color w:val="auto"/>
        </w:rPr>
        <w:t xml:space="preserve">  </w:t>
      </w:r>
      <w:r>
        <w:rPr>
          <w:color w:val="auto"/>
        </w:rPr>
        <w:t>2019</w:t>
      </w:r>
      <w:r>
        <w:rPr>
          <w:rFonts w:hint="eastAsia"/>
          <w:color w:val="auto"/>
        </w:rPr>
        <w:t>年日常监督各区抽检情况（括号内为问题发现率）</w:t>
      </w:r>
    </w:p>
    <w:p>
      <w:pPr>
        <w:pStyle w:val="28"/>
        <w:spacing w:after="120"/>
        <w:rPr>
          <w:color w:val="auto"/>
        </w:rPr>
      </w:pPr>
      <w:r>
        <w:rPr>
          <w:rFonts w:hint="eastAsia"/>
          <w:color w:val="auto"/>
        </w:rPr>
        <w:t>表2</w:t>
      </w:r>
      <w:r>
        <w:rPr>
          <w:color w:val="auto"/>
        </w:rPr>
        <w:t>-</w:t>
      </w:r>
      <w:r>
        <w:rPr>
          <w:rFonts w:hint="eastAsia"/>
          <w:color w:val="auto"/>
          <w:lang w:val="en-US" w:eastAsia="zh-CN"/>
        </w:rPr>
        <w:t>3</w:t>
      </w:r>
      <w:r>
        <w:rPr>
          <w:rFonts w:hint="eastAsia"/>
          <w:color w:val="auto"/>
        </w:rPr>
        <w:t xml:space="preserve">  </w:t>
      </w:r>
      <w:r>
        <w:rPr>
          <w:color w:val="auto"/>
        </w:rPr>
        <w:t>2019</w:t>
      </w:r>
      <w:r>
        <w:rPr>
          <w:rFonts w:hint="eastAsia"/>
          <w:color w:val="auto"/>
        </w:rPr>
        <w:t>年日常监督各区抽检情况</w:t>
      </w:r>
    </w:p>
    <w:tbl>
      <w:tblPr>
        <w:tblStyle w:val="20"/>
        <w:tblW w:w="9087" w:type="dxa"/>
        <w:jc w:val="center"/>
        <w:tblInd w:w="0" w:type="dxa"/>
        <w:tblLayout w:type="fixed"/>
        <w:tblCellMar>
          <w:top w:w="0" w:type="dxa"/>
          <w:left w:w="108" w:type="dxa"/>
          <w:bottom w:w="0" w:type="dxa"/>
          <w:right w:w="108" w:type="dxa"/>
        </w:tblCellMar>
      </w:tblPr>
      <w:tblGrid>
        <w:gridCol w:w="2795"/>
        <w:gridCol w:w="1917"/>
        <w:gridCol w:w="1761"/>
        <w:gridCol w:w="2614"/>
      </w:tblGrid>
      <w:tr>
        <w:tblPrEx>
          <w:tblLayout w:type="fixed"/>
          <w:tblCellMar>
            <w:top w:w="0" w:type="dxa"/>
            <w:left w:w="108" w:type="dxa"/>
            <w:bottom w:w="0" w:type="dxa"/>
            <w:right w:w="108" w:type="dxa"/>
          </w:tblCellMar>
        </w:tblPrEx>
        <w:trPr>
          <w:cantSplit/>
          <w:trHeight w:val="595" w:hRule="atLeast"/>
          <w:tblHeader/>
          <w:jc w:val="center"/>
        </w:trPr>
        <w:tc>
          <w:tcPr>
            <w:tcW w:w="2795" w:type="dxa"/>
            <w:tcBorders>
              <w:top w:val="single" w:color="FFFFFF" w:sz="8" w:space="0"/>
              <w:left w:val="single" w:color="FFFFFF" w:sz="8" w:space="0"/>
              <w:bottom w:val="single" w:color="FFFFFF" w:sz="18" w:space="0"/>
              <w:right w:val="single" w:color="FFFFFF" w:sz="8" w:space="0"/>
            </w:tcBorders>
            <w:shd w:val="clear" w:color="auto" w:fill="4F81BD"/>
            <w:vAlign w:val="center"/>
          </w:tcPr>
          <w:p>
            <w:pPr>
              <w:pStyle w:val="29"/>
              <w:rPr>
                <w:color w:val="auto"/>
              </w:rPr>
            </w:pPr>
            <w:r>
              <w:rPr>
                <w:rFonts w:hint="eastAsia"/>
                <w:color w:val="auto"/>
              </w:rPr>
              <w:t>行政区域</w:t>
            </w:r>
          </w:p>
        </w:tc>
        <w:tc>
          <w:tcPr>
            <w:tcW w:w="1917" w:type="dxa"/>
            <w:tcBorders>
              <w:top w:val="single" w:color="FFFFFF" w:sz="8" w:space="0"/>
              <w:left w:val="single" w:color="FFFFFF" w:sz="8" w:space="0"/>
              <w:bottom w:val="single" w:color="FFFFFF" w:sz="18" w:space="0"/>
              <w:right w:val="single" w:color="FFFFFF" w:sz="8" w:space="0"/>
            </w:tcBorders>
            <w:shd w:val="clear" w:color="auto" w:fill="4F81BD"/>
            <w:noWrap/>
            <w:vAlign w:val="center"/>
          </w:tcPr>
          <w:p>
            <w:pPr>
              <w:pStyle w:val="29"/>
              <w:rPr>
                <w:color w:val="auto"/>
              </w:rPr>
            </w:pPr>
            <w:r>
              <w:rPr>
                <w:rFonts w:hint="eastAsia"/>
                <w:color w:val="auto"/>
              </w:rPr>
              <w:t>抽检批次</w:t>
            </w:r>
          </w:p>
        </w:tc>
        <w:tc>
          <w:tcPr>
            <w:tcW w:w="1761" w:type="dxa"/>
            <w:tcBorders>
              <w:top w:val="single" w:color="FFFFFF" w:sz="8" w:space="0"/>
              <w:left w:val="single" w:color="FFFFFF" w:sz="8" w:space="0"/>
              <w:bottom w:val="single" w:color="FFFFFF" w:sz="18" w:space="0"/>
              <w:right w:val="single" w:color="FFFFFF" w:sz="8" w:space="0"/>
            </w:tcBorders>
            <w:shd w:val="clear" w:color="auto" w:fill="4F81BD"/>
            <w:noWrap/>
            <w:vAlign w:val="center"/>
          </w:tcPr>
          <w:p>
            <w:pPr>
              <w:pStyle w:val="29"/>
              <w:rPr>
                <w:color w:val="auto"/>
              </w:rPr>
            </w:pPr>
            <w:r>
              <w:rPr>
                <w:rFonts w:hint="eastAsia"/>
                <w:color w:val="auto"/>
              </w:rPr>
              <w:t>问题样品批次</w:t>
            </w:r>
          </w:p>
        </w:tc>
        <w:tc>
          <w:tcPr>
            <w:tcW w:w="2614" w:type="dxa"/>
            <w:tcBorders>
              <w:top w:val="single" w:color="FFFFFF" w:sz="8" w:space="0"/>
              <w:left w:val="single" w:color="FFFFFF" w:sz="8" w:space="0"/>
              <w:bottom w:val="single" w:color="FFFFFF" w:sz="18" w:space="0"/>
              <w:right w:val="single" w:color="FFFFFF" w:sz="8" w:space="0"/>
            </w:tcBorders>
            <w:shd w:val="clear" w:color="auto" w:fill="4F81BD"/>
            <w:noWrap/>
            <w:vAlign w:val="center"/>
          </w:tcPr>
          <w:p>
            <w:pPr>
              <w:pStyle w:val="29"/>
              <w:rPr>
                <w:color w:val="auto"/>
              </w:rPr>
            </w:pPr>
            <w:r>
              <w:rPr>
                <w:rFonts w:hint="eastAsia"/>
                <w:color w:val="auto"/>
              </w:rPr>
              <w:t>问题发现率（%）</w:t>
            </w:r>
          </w:p>
        </w:tc>
      </w:tr>
      <w:tr>
        <w:tblPrEx>
          <w:tblLayout w:type="fixed"/>
          <w:tblCellMar>
            <w:top w:w="0" w:type="dxa"/>
            <w:left w:w="108" w:type="dxa"/>
            <w:bottom w:w="0" w:type="dxa"/>
            <w:right w:w="108" w:type="dxa"/>
          </w:tblCellMar>
        </w:tblPrEx>
        <w:trPr>
          <w:cantSplit/>
          <w:trHeight w:val="595" w:hRule="atLeast"/>
          <w:jc w:val="center"/>
        </w:trPr>
        <w:tc>
          <w:tcPr>
            <w:tcW w:w="2795" w:type="dxa"/>
            <w:tcBorders>
              <w:top w:val="single" w:color="FFFFFF" w:sz="1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福田区</w:t>
            </w:r>
          </w:p>
        </w:tc>
        <w:tc>
          <w:tcPr>
            <w:tcW w:w="1917" w:type="dxa"/>
            <w:tcBorders>
              <w:top w:val="single" w:color="FFFFFF" w:sz="1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3569</w:t>
            </w:r>
          </w:p>
        </w:tc>
        <w:tc>
          <w:tcPr>
            <w:tcW w:w="1761" w:type="dxa"/>
            <w:tcBorders>
              <w:top w:val="single" w:color="FFFFFF" w:sz="1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28</w:t>
            </w:r>
          </w:p>
        </w:tc>
        <w:tc>
          <w:tcPr>
            <w:tcW w:w="2614" w:type="dxa"/>
            <w:tcBorders>
              <w:top w:val="single" w:color="FFFFFF" w:sz="1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0.78</w:t>
            </w:r>
          </w:p>
        </w:tc>
      </w:tr>
      <w:tr>
        <w:tblPrEx>
          <w:tblLayout w:type="fixed"/>
          <w:tblCellMar>
            <w:top w:w="0" w:type="dxa"/>
            <w:left w:w="108" w:type="dxa"/>
            <w:bottom w:w="0" w:type="dxa"/>
            <w:right w:w="108" w:type="dxa"/>
          </w:tblCellMar>
        </w:tblPrEx>
        <w:trPr>
          <w:cantSplit/>
          <w:trHeight w:val="595" w:hRule="atLeast"/>
          <w:jc w:val="center"/>
        </w:trPr>
        <w:tc>
          <w:tcPr>
            <w:tcW w:w="2795"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罗湖区</w:t>
            </w:r>
          </w:p>
        </w:tc>
        <w:tc>
          <w:tcPr>
            <w:tcW w:w="1917"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2540</w:t>
            </w:r>
          </w:p>
        </w:tc>
        <w:tc>
          <w:tcPr>
            <w:tcW w:w="1761"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13</w:t>
            </w:r>
          </w:p>
        </w:tc>
        <w:tc>
          <w:tcPr>
            <w:tcW w:w="2614"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0.51</w:t>
            </w:r>
          </w:p>
        </w:tc>
      </w:tr>
      <w:tr>
        <w:tblPrEx>
          <w:tblLayout w:type="fixed"/>
          <w:tblCellMar>
            <w:top w:w="0" w:type="dxa"/>
            <w:left w:w="108" w:type="dxa"/>
            <w:bottom w:w="0" w:type="dxa"/>
            <w:right w:w="108" w:type="dxa"/>
          </w:tblCellMar>
        </w:tblPrEx>
        <w:trPr>
          <w:cantSplit/>
          <w:trHeight w:val="595" w:hRule="atLeast"/>
          <w:jc w:val="center"/>
        </w:trPr>
        <w:tc>
          <w:tcPr>
            <w:tcW w:w="2795"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盐田区</w:t>
            </w:r>
          </w:p>
        </w:tc>
        <w:tc>
          <w:tcPr>
            <w:tcW w:w="1917"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663</w:t>
            </w:r>
          </w:p>
        </w:tc>
        <w:tc>
          <w:tcPr>
            <w:tcW w:w="1761"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5</w:t>
            </w:r>
          </w:p>
        </w:tc>
        <w:tc>
          <w:tcPr>
            <w:tcW w:w="2614"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0.75</w:t>
            </w:r>
          </w:p>
        </w:tc>
      </w:tr>
      <w:tr>
        <w:tblPrEx>
          <w:tblLayout w:type="fixed"/>
          <w:tblCellMar>
            <w:top w:w="0" w:type="dxa"/>
            <w:left w:w="108" w:type="dxa"/>
            <w:bottom w:w="0" w:type="dxa"/>
            <w:right w:w="108" w:type="dxa"/>
          </w:tblCellMar>
        </w:tblPrEx>
        <w:trPr>
          <w:cantSplit/>
          <w:trHeight w:val="595" w:hRule="atLeast"/>
          <w:jc w:val="center"/>
        </w:trPr>
        <w:tc>
          <w:tcPr>
            <w:tcW w:w="2795"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南山区</w:t>
            </w:r>
          </w:p>
        </w:tc>
        <w:tc>
          <w:tcPr>
            <w:tcW w:w="1917"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3984</w:t>
            </w:r>
          </w:p>
        </w:tc>
        <w:tc>
          <w:tcPr>
            <w:tcW w:w="1761"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39</w:t>
            </w:r>
          </w:p>
        </w:tc>
        <w:tc>
          <w:tcPr>
            <w:tcW w:w="2614"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0.98</w:t>
            </w:r>
          </w:p>
        </w:tc>
      </w:tr>
      <w:tr>
        <w:tblPrEx>
          <w:tblLayout w:type="fixed"/>
          <w:tblCellMar>
            <w:top w:w="0" w:type="dxa"/>
            <w:left w:w="108" w:type="dxa"/>
            <w:bottom w:w="0" w:type="dxa"/>
            <w:right w:w="108" w:type="dxa"/>
          </w:tblCellMar>
        </w:tblPrEx>
        <w:trPr>
          <w:cantSplit/>
          <w:trHeight w:val="595" w:hRule="atLeast"/>
          <w:jc w:val="center"/>
        </w:trPr>
        <w:tc>
          <w:tcPr>
            <w:tcW w:w="2795"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宝安区</w:t>
            </w:r>
          </w:p>
        </w:tc>
        <w:tc>
          <w:tcPr>
            <w:tcW w:w="1917"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7989</w:t>
            </w:r>
          </w:p>
        </w:tc>
        <w:tc>
          <w:tcPr>
            <w:tcW w:w="1761"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77</w:t>
            </w:r>
          </w:p>
        </w:tc>
        <w:tc>
          <w:tcPr>
            <w:tcW w:w="2614"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0.96</w:t>
            </w:r>
          </w:p>
        </w:tc>
      </w:tr>
      <w:tr>
        <w:tblPrEx>
          <w:tblLayout w:type="fixed"/>
          <w:tblCellMar>
            <w:top w:w="0" w:type="dxa"/>
            <w:left w:w="108" w:type="dxa"/>
            <w:bottom w:w="0" w:type="dxa"/>
            <w:right w:w="108" w:type="dxa"/>
          </w:tblCellMar>
        </w:tblPrEx>
        <w:trPr>
          <w:cantSplit/>
          <w:trHeight w:val="595" w:hRule="atLeast"/>
          <w:jc w:val="center"/>
        </w:trPr>
        <w:tc>
          <w:tcPr>
            <w:tcW w:w="2795"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龙岗区</w:t>
            </w:r>
          </w:p>
        </w:tc>
        <w:tc>
          <w:tcPr>
            <w:tcW w:w="1917"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8338</w:t>
            </w:r>
          </w:p>
        </w:tc>
        <w:tc>
          <w:tcPr>
            <w:tcW w:w="1761"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88</w:t>
            </w:r>
          </w:p>
        </w:tc>
        <w:tc>
          <w:tcPr>
            <w:tcW w:w="2614"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1.06</w:t>
            </w:r>
          </w:p>
        </w:tc>
      </w:tr>
      <w:tr>
        <w:tblPrEx>
          <w:tblLayout w:type="fixed"/>
          <w:tblCellMar>
            <w:top w:w="0" w:type="dxa"/>
            <w:left w:w="108" w:type="dxa"/>
            <w:bottom w:w="0" w:type="dxa"/>
            <w:right w:w="108" w:type="dxa"/>
          </w:tblCellMar>
        </w:tblPrEx>
        <w:trPr>
          <w:cantSplit/>
          <w:trHeight w:val="595" w:hRule="atLeast"/>
          <w:jc w:val="center"/>
        </w:trPr>
        <w:tc>
          <w:tcPr>
            <w:tcW w:w="2795"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龙华区</w:t>
            </w:r>
          </w:p>
        </w:tc>
        <w:tc>
          <w:tcPr>
            <w:tcW w:w="1917"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4378</w:t>
            </w:r>
          </w:p>
        </w:tc>
        <w:tc>
          <w:tcPr>
            <w:tcW w:w="1761"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38</w:t>
            </w:r>
          </w:p>
        </w:tc>
        <w:tc>
          <w:tcPr>
            <w:tcW w:w="2614"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0.87</w:t>
            </w:r>
          </w:p>
        </w:tc>
      </w:tr>
      <w:tr>
        <w:tblPrEx>
          <w:tblLayout w:type="fixed"/>
          <w:tblCellMar>
            <w:top w:w="0" w:type="dxa"/>
            <w:left w:w="108" w:type="dxa"/>
            <w:bottom w:w="0" w:type="dxa"/>
            <w:right w:w="108" w:type="dxa"/>
          </w:tblCellMar>
        </w:tblPrEx>
        <w:trPr>
          <w:cantSplit/>
          <w:trHeight w:val="595" w:hRule="atLeast"/>
          <w:jc w:val="center"/>
        </w:trPr>
        <w:tc>
          <w:tcPr>
            <w:tcW w:w="2795"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坪山区</w:t>
            </w:r>
          </w:p>
        </w:tc>
        <w:tc>
          <w:tcPr>
            <w:tcW w:w="1917"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1654</w:t>
            </w:r>
          </w:p>
        </w:tc>
        <w:tc>
          <w:tcPr>
            <w:tcW w:w="1761"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14</w:t>
            </w:r>
          </w:p>
        </w:tc>
        <w:tc>
          <w:tcPr>
            <w:tcW w:w="2614"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0.85</w:t>
            </w:r>
          </w:p>
        </w:tc>
      </w:tr>
      <w:tr>
        <w:tblPrEx>
          <w:tblLayout w:type="fixed"/>
          <w:tblCellMar>
            <w:top w:w="0" w:type="dxa"/>
            <w:left w:w="108" w:type="dxa"/>
            <w:bottom w:w="0" w:type="dxa"/>
            <w:right w:w="108" w:type="dxa"/>
          </w:tblCellMar>
        </w:tblPrEx>
        <w:trPr>
          <w:cantSplit/>
          <w:trHeight w:val="595" w:hRule="atLeast"/>
          <w:jc w:val="center"/>
        </w:trPr>
        <w:tc>
          <w:tcPr>
            <w:tcW w:w="2795"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光明区</w:t>
            </w:r>
          </w:p>
        </w:tc>
        <w:tc>
          <w:tcPr>
            <w:tcW w:w="1917"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2622</w:t>
            </w:r>
          </w:p>
        </w:tc>
        <w:tc>
          <w:tcPr>
            <w:tcW w:w="1761"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23</w:t>
            </w:r>
          </w:p>
        </w:tc>
        <w:tc>
          <w:tcPr>
            <w:tcW w:w="2614"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0.88</w:t>
            </w:r>
          </w:p>
        </w:tc>
      </w:tr>
      <w:tr>
        <w:tblPrEx>
          <w:tblLayout w:type="fixed"/>
          <w:tblCellMar>
            <w:top w:w="0" w:type="dxa"/>
            <w:left w:w="108" w:type="dxa"/>
            <w:bottom w:w="0" w:type="dxa"/>
            <w:right w:w="108" w:type="dxa"/>
          </w:tblCellMar>
        </w:tblPrEx>
        <w:trPr>
          <w:cantSplit/>
          <w:trHeight w:val="595" w:hRule="atLeast"/>
          <w:jc w:val="center"/>
        </w:trPr>
        <w:tc>
          <w:tcPr>
            <w:tcW w:w="2795"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大鹏新区</w:t>
            </w:r>
          </w:p>
        </w:tc>
        <w:tc>
          <w:tcPr>
            <w:tcW w:w="1917"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616</w:t>
            </w:r>
          </w:p>
        </w:tc>
        <w:tc>
          <w:tcPr>
            <w:tcW w:w="1761"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5</w:t>
            </w:r>
          </w:p>
        </w:tc>
        <w:tc>
          <w:tcPr>
            <w:tcW w:w="2614"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0.81</w:t>
            </w:r>
          </w:p>
        </w:tc>
      </w:tr>
      <w:tr>
        <w:tblPrEx>
          <w:tblLayout w:type="fixed"/>
          <w:tblCellMar>
            <w:top w:w="0" w:type="dxa"/>
            <w:left w:w="108" w:type="dxa"/>
            <w:bottom w:w="0" w:type="dxa"/>
            <w:right w:w="108" w:type="dxa"/>
          </w:tblCellMar>
        </w:tblPrEx>
        <w:trPr>
          <w:cantSplit/>
          <w:trHeight w:val="595" w:hRule="atLeast"/>
          <w:jc w:val="center"/>
        </w:trPr>
        <w:tc>
          <w:tcPr>
            <w:tcW w:w="2795"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深汕特别合作区</w:t>
            </w:r>
          </w:p>
        </w:tc>
        <w:tc>
          <w:tcPr>
            <w:tcW w:w="1917"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34</w:t>
            </w:r>
          </w:p>
        </w:tc>
        <w:tc>
          <w:tcPr>
            <w:tcW w:w="1761"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0</w:t>
            </w:r>
          </w:p>
        </w:tc>
        <w:tc>
          <w:tcPr>
            <w:tcW w:w="2614" w:type="dxa"/>
            <w:tcBorders>
              <w:top w:val="single" w:color="FFFFFF" w:sz="8" w:space="0"/>
              <w:left w:val="single" w:color="FFFFFF" w:sz="8" w:space="0"/>
              <w:bottom w:val="single" w:color="FFFFFF" w:sz="8" w:space="0"/>
              <w:right w:val="single" w:color="FFFFFF" w:sz="8" w:space="0"/>
            </w:tcBorders>
            <w:shd w:val="clear" w:color="auto" w:fill="D0D8E8"/>
            <w:noWrap/>
            <w:vAlign w:val="center"/>
          </w:tcPr>
          <w:p>
            <w:pPr>
              <w:pStyle w:val="30"/>
              <w:rPr>
                <w:color w:val="auto"/>
              </w:rPr>
            </w:pPr>
            <w:r>
              <w:rPr>
                <w:rFonts w:hint="eastAsia"/>
                <w:color w:val="auto"/>
              </w:rPr>
              <w:t>0.00</w:t>
            </w:r>
          </w:p>
        </w:tc>
      </w:tr>
      <w:tr>
        <w:tblPrEx>
          <w:tblLayout w:type="fixed"/>
          <w:tblCellMar>
            <w:top w:w="0" w:type="dxa"/>
            <w:left w:w="108" w:type="dxa"/>
            <w:bottom w:w="0" w:type="dxa"/>
            <w:right w:w="108" w:type="dxa"/>
          </w:tblCellMar>
        </w:tblPrEx>
        <w:trPr>
          <w:cantSplit/>
          <w:trHeight w:val="595" w:hRule="atLeast"/>
          <w:jc w:val="center"/>
        </w:trPr>
        <w:tc>
          <w:tcPr>
            <w:tcW w:w="2795"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合计</w:t>
            </w:r>
          </w:p>
        </w:tc>
        <w:tc>
          <w:tcPr>
            <w:tcW w:w="1917"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36387</w:t>
            </w:r>
          </w:p>
        </w:tc>
        <w:tc>
          <w:tcPr>
            <w:tcW w:w="1761"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330</w:t>
            </w:r>
          </w:p>
        </w:tc>
        <w:tc>
          <w:tcPr>
            <w:tcW w:w="2614" w:type="dxa"/>
            <w:tcBorders>
              <w:top w:val="single" w:color="FFFFFF" w:sz="8" w:space="0"/>
              <w:left w:val="single" w:color="FFFFFF" w:sz="8" w:space="0"/>
              <w:bottom w:val="single" w:color="FFFFFF" w:sz="8" w:space="0"/>
              <w:right w:val="single" w:color="FFFFFF" w:sz="8" w:space="0"/>
            </w:tcBorders>
            <w:shd w:val="clear" w:color="auto" w:fill="E9EDF4"/>
            <w:noWrap/>
            <w:vAlign w:val="center"/>
          </w:tcPr>
          <w:p>
            <w:pPr>
              <w:pStyle w:val="30"/>
              <w:rPr>
                <w:color w:val="auto"/>
              </w:rPr>
            </w:pPr>
            <w:r>
              <w:rPr>
                <w:rFonts w:hint="eastAsia"/>
                <w:color w:val="auto"/>
              </w:rPr>
              <w:t>0.91</w:t>
            </w:r>
          </w:p>
        </w:tc>
      </w:tr>
    </w:tbl>
    <w:p>
      <w:pPr>
        <w:pStyle w:val="4"/>
        <w:spacing w:before="360"/>
        <w:ind w:firstLine="643" w:firstLineChars="200"/>
        <w:rPr>
          <w:rFonts w:hint="eastAsia"/>
          <w:color w:val="auto"/>
          <w:highlight w:val="none"/>
          <w:lang w:eastAsia="zh-CN"/>
        </w:rPr>
      </w:pPr>
      <w:bookmarkStart w:id="115" w:name="_Toc42087603"/>
      <w:bookmarkStart w:id="116" w:name="_Toc4148765"/>
      <w:bookmarkStart w:id="117" w:name="_Toc535483907"/>
      <w:r>
        <w:rPr>
          <w:rFonts w:hint="eastAsia"/>
          <w:color w:val="auto"/>
          <w:highlight w:val="none"/>
          <w:lang w:eastAsia="zh-CN"/>
        </w:rPr>
        <w:t>五、食品日常监督抽检发现的问题</w:t>
      </w:r>
      <w:bookmarkEnd w:id="115"/>
    </w:p>
    <w:p>
      <w:pPr>
        <w:pStyle w:val="25"/>
        <w:ind w:firstLine="640"/>
        <w:rPr>
          <w:rFonts w:ascii="仿宋" w:hAnsi="仿宋"/>
          <w:color w:val="auto"/>
          <w:szCs w:val="32"/>
        </w:rPr>
      </w:pPr>
      <w:r>
        <w:rPr>
          <w:rFonts w:hint="eastAsia"/>
          <w:color w:val="auto"/>
        </w:rPr>
        <w:t>2</w:t>
      </w:r>
      <w:r>
        <w:rPr>
          <w:color w:val="auto"/>
        </w:rPr>
        <w:t>019</w:t>
      </w:r>
      <w:r>
        <w:rPr>
          <w:rFonts w:hint="eastAsia"/>
          <w:color w:val="auto"/>
        </w:rPr>
        <w:t>年</w:t>
      </w:r>
      <w:r>
        <w:rPr>
          <w:rFonts w:hint="eastAsia"/>
          <w:color w:val="auto"/>
          <w:lang w:eastAsia="zh-CN"/>
        </w:rPr>
        <w:t>日常监督抽检</w:t>
      </w:r>
      <w:r>
        <w:rPr>
          <w:rFonts w:hint="eastAsia"/>
          <w:color w:val="auto"/>
        </w:rPr>
        <w:t>共发现问题项目3</w:t>
      </w:r>
      <w:r>
        <w:rPr>
          <w:color w:val="auto"/>
        </w:rPr>
        <w:t>48</w:t>
      </w:r>
      <w:r>
        <w:rPr>
          <w:rFonts w:hint="eastAsia"/>
          <w:color w:val="auto"/>
        </w:rPr>
        <w:t>项次，涉及8类问题项目类型，问题项目类别主要有食品添加剂、兽药残留、品质指标、微生物污染、金属等元素污染物、非食用物质、农药残留、生物毒素。从不合格项目类别的分布（图2-</w:t>
      </w:r>
      <w:r>
        <w:rPr>
          <w:rFonts w:hint="eastAsia"/>
          <w:color w:val="auto"/>
          <w:lang w:val="en-US" w:eastAsia="zh-CN"/>
        </w:rPr>
        <w:t>7</w:t>
      </w:r>
      <w:r>
        <w:rPr>
          <w:rFonts w:hint="eastAsia"/>
          <w:color w:val="auto"/>
        </w:rPr>
        <w:t>）来看，超范围、超限量使用食品添加剂是首要问题因素，占比为</w:t>
      </w:r>
      <w:r>
        <w:rPr>
          <w:color w:val="auto"/>
        </w:rPr>
        <w:t>33.05</w:t>
      </w:r>
      <w:r>
        <w:rPr>
          <w:rFonts w:hint="eastAsia"/>
          <w:color w:val="auto"/>
        </w:rPr>
        <w:t>%；其次是兽药残留，占比为</w:t>
      </w:r>
      <w:r>
        <w:rPr>
          <w:color w:val="auto"/>
        </w:rPr>
        <w:t>20.11</w:t>
      </w:r>
      <w:r>
        <w:rPr>
          <w:rFonts w:hint="eastAsia"/>
          <w:color w:val="auto"/>
        </w:rPr>
        <w:t>%；再次是品质指标和微生物污染，占比均为1</w:t>
      </w:r>
      <w:r>
        <w:rPr>
          <w:color w:val="auto"/>
        </w:rPr>
        <w:t>3.79</w:t>
      </w:r>
      <w:r>
        <w:rPr>
          <w:rFonts w:hint="eastAsia"/>
          <w:color w:val="auto"/>
        </w:rPr>
        <w:t>%；再其后为金属等元素污染物、非食用物质和农药残留，占比分别为</w:t>
      </w:r>
      <w:r>
        <w:rPr>
          <w:color w:val="auto"/>
        </w:rPr>
        <w:t>8.62</w:t>
      </w:r>
      <w:r>
        <w:rPr>
          <w:rFonts w:hint="eastAsia"/>
          <w:color w:val="auto"/>
        </w:rPr>
        <w:t>%、5</w:t>
      </w:r>
      <w:r>
        <w:rPr>
          <w:color w:val="auto"/>
        </w:rPr>
        <w:t>.17</w:t>
      </w:r>
      <w:r>
        <w:rPr>
          <w:rFonts w:hint="eastAsia"/>
          <w:color w:val="auto"/>
        </w:rPr>
        <w:t>%和3</w:t>
      </w:r>
      <w:r>
        <w:rPr>
          <w:color w:val="auto"/>
        </w:rPr>
        <w:t>.74</w:t>
      </w:r>
      <w:r>
        <w:rPr>
          <w:rFonts w:hint="eastAsia"/>
          <w:color w:val="auto"/>
        </w:rPr>
        <w:t>%；最后生物毒素也有检出，占比为</w:t>
      </w:r>
      <w:r>
        <w:rPr>
          <w:color w:val="auto"/>
        </w:rPr>
        <w:t>1.72</w:t>
      </w:r>
      <w:r>
        <w:rPr>
          <w:rFonts w:hint="eastAsia"/>
          <w:color w:val="auto"/>
        </w:rPr>
        <w:t>%。其中有1</w:t>
      </w:r>
      <w:r>
        <w:rPr>
          <w:color w:val="auto"/>
        </w:rPr>
        <w:t>5</w:t>
      </w:r>
      <w:r>
        <w:rPr>
          <w:rFonts w:hint="eastAsia"/>
          <w:color w:val="auto"/>
        </w:rPr>
        <w:t>大类食品2</w:t>
      </w:r>
      <w:r>
        <w:rPr>
          <w:color w:val="auto"/>
        </w:rPr>
        <w:t>5</w:t>
      </w:r>
      <w:r>
        <w:rPr>
          <w:rFonts w:hint="eastAsia"/>
          <w:color w:val="auto"/>
        </w:rPr>
        <w:t>细类食品涉及超范围超限量使用食品添加剂的问题。</w:t>
      </w:r>
    </w:p>
    <w:p>
      <w:pPr>
        <w:spacing w:line="560" w:lineRule="exact"/>
        <w:ind w:firstLine="640" w:firstLineChars="200"/>
        <w:rPr>
          <w:rFonts w:ascii="仿宋" w:hAnsi="仿宋" w:eastAsia="仿宋"/>
          <w:color w:val="auto"/>
          <w:sz w:val="32"/>
          <w:szCs w:val="32"/>
        </w:rPr>
      </w:pPr>
    </w:p>
    <w:p>
      <w:pPr>
        <w:jc w:val="center"/>
        <w:rPr>
          <w:color w:val="auto"/>
        </w:rPr>
      </w:pPr>
      <w:r>
        <w:rPr>
          <w:color w:val="auto"/>
        </w:rPr>
        <w:drawing>
          <wp:inline distT="0" distB="0" distL="114300" distR="114300">
            <wp:extent cx="4215130" cy="3115310"/>
            <wp:effectExtent l="0" t="0" r="13970" b="8890"/>
            <wp:docPr id="37" name="图片 32" descr="1578206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descr="1578206275(1)"/>
                    <pic:cNvPicPr>
                      <a:picLocks noChangeAspect="1"/>
                    </pic:cNvPicPr>
                  </pic:nvPicPr>
                  <pic:blipFill>
                    <a:blip r:embed="rId15"/>
                    <a:srcRect l="1077" t="861" r="731" b="11415"/>
                    <a:stretch>
                      <a:fillRect/>
                    </a:stretch>
                  </pic:blipFill>
                  <pic:spPr>
                    <a:xfrm>
                      <a:off x="0" y="0"/>
                      <a:ext cx="4215130" cy="3115310"/>
                    </a:xfrm>
                    <a:prstGeom prst="rect">
                      <a:avLst/>
                    </a:prstGeom>
                    <a:noFill/>
                    <a:ln>
                      <a:noFill/>
                    </a:ln>
                  </pic:spPr>
                </pic:pic>
              </a:graphicData>
            </a:graphic>
          </wp:inline>
        </w:drawing>
      </w:r>
    </w:p>
    <w:p>
      <w:pPr>
        <w:pStyle w:val="28"/>
        <w:spacing w:after="120"/>
        <w:rPr>
          <w:color w:val="auto"/>
        </w:rPr>
      </w:pPr>
      <w:r>
        <w:rPr>
          <w:rFonts w:hint="eastAsia"/>
          <w:color w:val="auto"/>
        </w:rPr>
        <w:t>图</w:t>
      </w:r>
      <w:r>
        <w:rPr>
          <w:color w:val="auto"/>
        </w:rPr>
        <w:t>2-</w:t>
      </w:r>
      <w:r>
        <w:rPr>
          <w:rFonts w:hint="eastAsia"/>
          <w:color w:val="auto"/>
          <w:lang w:val="en-US" w:eastAsia="zh-CN"/>
        </w:rPr>
        <w:t>7</w:t>
      </w:r>
      <w:r>
        <w:rPr>
          <w:rFonts w:hint="eastAsia"/>
          <w:color w:val="auto"/>
        </w:rPr>
        <w:t xml:space="preserve">  日常监督抽检问题项目类型检出情况</w:t>
      </w:r>
    </w:p>
    <w:p>
      <w:pPr>
        <w:spacing w:line="560" w:lineRule="exact"/>
        <w:ind w:firstLine="640" w:firstLineChars="200"/>
        <w:rPr>
          <w:rFonts w:ascii="仿宋" w:hAnsi="仿宋" w:eastAsia="仿宋"/>
          <w:color w:val="auto"/>
          <w:sz w:val="32"/>
          <w:szCs w:val="32"/>
          <w:highlight w:val="yellow"/>
        </w:rPr>
      </w:pPr>
    </w:p>
    <w:p>
      <w:pPr>
        <w:rPr>
          <w:color w:val="auto"/>
        </w:rPr>
      </w:pPr>
    </w:p>
    <w:p>
      <w:pPr>
        <w:pStyle w:val="19"/>
        <w:rPr>
          <w:color w:val="auto"/>
        </w:rPr>
      </w:pPr>
      <w:r>
        <w:rPr>
          <w:color w:val="auto"/>
        </w:rPr>
        <w:br w:type="page"/>
      </w:r>
      <w:bookmarkEnd w:id="116"/>
      <w:bookmarkEnd w:id="117"/>
      <w:bookmarkStart w:id="118" w:name="_Toc42087577"/>
      <w:bookmarkStart w:id="119" w:name="_Toc42087606"/>
      <w:bookmarkStart w:id="120" w:name="_Toc22142"/>
      <w:r>
        <w:rPr>
          <w:rFonts w:hint="eastAsia"/>
          <w:color w:val="auto"/>
        </w:rPr>
        <w:t>第</w:t>
      </w:r>
      <w:r>
        <w:rPr>
          <w:rFonts w:hint="eastAsia"/>
          <w:color w:val="auto"/>
          <w:lang w:eastAsia="zh-CN"/>
        </w:rPr>
        <w:t>三</w:t>
      </w:r>
      <w:r>
        <w:rPr>
          <w:rFonts w:hint="eastAsia"/>
          <w:color w:val="auto"/>
        </w:rPr>
        <w:t>部分</w:t>
      </w:r>
    </w:p>
    <w:p>
      <w:pPr>
        <w:pStyle w:val="19"/>
        <w:rPr>
          <w:color w:val="auto"/>
        </w:rPr>
      </w:pPr>
      <w:r>
        <w:rPr>
          <w:rFonts w:hint="eastAsia"/>
          <w:color w:val="auto"/>
        </w:rPr>
        <w:t>食品</w:t>
      </w:r>
      <w:r>
        <w:rPr>
          <w:rFonts w:hint="eastAsia"/>
          <w:color w:val="auto"/>
          <w:lang w:eastAsia="zh-CN"/>
        </w:rPr>
        <w:t>专项</w:t>
      </w:r>
      <w:r>
        <w:rPr>
          <w:rFonts w:hint="eastAsia"/>
          <w:color w:val="auto"/>
        </w:rPr>
        <w:t>监督抽检</w:t>
      </w:r>
    </w:p>
    <w:p>
      <w:pPr>
        <w:pStyle w:val="4"/>
        <w:spacing w:before="360" w:after="120" w:line="240" w:lineRule="auto"/>
        <w:ind w:firstLine="643" w:firstLineChars="200"/>
        <w:jc w:val="left"/>
      </w:pPr>
      <w:r>
        <w:rPr>
          <w:rFonts w:hint="eastAsia"/>
          <w:lang w:eastAsia="zh-CN"/>
        </w:rPr>
        <w:t>一</w:t>
      </w:r>
      <w:r>
        <w:rPr>
          <w:rFonts w:hint="eastAsia"/>
        </w:rPr>
        <w:t>、201</w:t>
      </w:r>
      <w:r>
        <w:t>9</w:t>
      </w:r>
      <w:r>
        <w:rPr>
          <w:rFonts w:hint="eastAsia"/>
        </w:rPr>
        <w:t>年食品专项监督抽检</w:t>
      </w:r>
      <w:r>
        <w:rPr>
          <w:rFonts w:hint="eastAsia"/>
          <w:lang w:eastAsia="zh-CN"/>
        </w:rPr>
        <w:t>整体</w:t>
      </w:r>
      <w:r>
        <w:rPr>
          <w:rFonts w:hint="eastAsia"/>
        </w:rPr>
        <w:t>情况</w:t>
      </w:r>
      <w:bookmarkEnd w:id="118"/>
    </w:p>
    <w:p>
      <w:pPr>
        <w:pStyle w:val="25"/>
        <w:ind w:firstLine="640"/>
      </w:pPr>
      <w:r>
        <w:rPr>
          <w:rFonts w:hint="eastAsia"/>
        </w:rPr>
        <w:t>专项监督抽检以问题为导向，在日常监督抽检的基础上，针对舆情应对、社会热点、突出问题领域、上级文件及监管需要针对某类食品或某类经营主体开展的抽检，具有较强的针对性。201</w:t>
      </w:r>
      <w:r>
        <w:t>9</w:t>
      </w:r>
      <w:r>
        <w:rPr>
          <w:rFonts w:hint="eastAsia"/>
        </w:rPr>
        <w:t>年，深圳市市场监督管理局共下达专项抽检任务77个，如针对舆情的湿米粉中米酵菌酸的监测抽检任务、针对应节食品的粽子、月饼专项抽检等，组织抽检8277家/户食品生产经营单位的食品共16297批次，发现不合格及监测问题样品267批次，专项监督抽检问题发现率为</w:t>
      </w:r>
      <w:r>
        <w:t>1.64</w:t>
      </w:r>
      <w:r>
        <w:rPr>
          <w:rFonts w:hint="eastAsia"/>
        </w:rPr>
        <w:t>%。其中</w:t>
      </w:r>
      <w:r>
        <w:rPr>
          <w:rFonts w:hint="eastAsia"/>
          <w:lang w:eastAsia="zh-CN"/>
        </w:rPr>
        <w:t>，</w:t>
      </w:r>
      <w:r>
        <w:rPr>
          <w:rFonts w:hint="eastAsia"/>
        </w:rPr>
        <w:t>生产环节共检验了2</w:t>
      </w:r>
      <w:r>
        <w:t>437</w:t>
      </w:r>
      <w:r>
        <w:rPr>
          <w:rFonts w:hint="eastAsia"/>
        </w:rPr>
        <w:t>批次样品，发现问题样品9</w:t>
      </w:r>
      <w:r>
        <w:t>3</w:t>
      </w:r>
      <w:r>
        <w:rPr>
          <w:rFonts w:hint="eastAsia"/>
        </w:rPr>
        <w:t>批次；流通环节共检验了9</w:t>
      </w:r>
      <w:r>
        <w:t>473</w:t>
      </w:r>
      <w:r>
        <w:rPr>
          <w:rFonts w:hint="eastAsia"/>
        </w:rPr>
        <w:t>批次样品，发现问题样品1</w:t>
      </w:r>
      <w:r>
        <w:t>42</w:t>
      </w:r>
      <w:r>
        <w:rPr>
          <w:rFonts w:hint="eastAsia"/>
        </w:rPr>
        <w:t>批次；餐饮环节共检验了4</w:t>
      </w:r>
      <w:r>
        <w:t>387</w:t>
      </w:r>
      <w:r>
        <w:rPr>
          <w:rFonts w:hint="eastAsia"/>
        </w:rPr>
        <w:t>批次样品，发现问题样品3</w:t>
      </w:r>
      <w:r>
        <w:t>2</w:t>
      </w:r>
      <w:r>
        <w:rPr>
          <w:rFonts w:hint="eastAsia"/>
        </w:rPr>
        <w:t>批次。专项</w:t>
      </w:r>
      <w:r>
        <w:rPr>
          <w:rFonts w:hint="eastAsia"/>
          <w:lang w:eastAsia="zh-CN"/>
        </w:rPr>
        <w:t>监督</w:t>
      </w:r>
      <w:r>
        <w:rPr>
          <w:rFonts w:hint="eastAsia"/>
        </w:rPr>
        <w:t>抽检各环节具体情况见图</w:t>
      </w:r>
      <w:r>
        <w:rPr>
          <w:rFonts w:hint="eastAsia"/>
          <w:lang w:val="en-US" w:eastAsia="zh-CN"/>
        </w:rPr>
        <w:t>3</w:t>
      </w:r>
      <w:r>
        <w:t>-1</w:t>
      </w:r>
      <w:r>
        <w:rPr>
          <w:rFonts w:hint="eastAsia"/>
        </w:rPr>
        <w:t>。</w:t>
      </w:r>
    </w:p>
    <w:p>
      <w:pPr>
        <w:pStyle w:val="25"/>
        <w:ind w:firstLine="640"/>
      </w:pPr>
    </w:p>
    <w:p>
      <w:pPr>
        <w:jc w:val="left"/>
      </w:pPr>
      <w:r>
        <w:drawing>
          <wp:inline distT="0" distB="0" distL="114300" distR="114300">
            <wp:extent cx="5741670" cy="3258185"/>
            <wp:effectExtent l="0" t="0" r="11430" b="18415"/>
            <wp:docPr id="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
                    <pic:cNvPicPr>
                      <a:picLocks noChangeAspect="1"/>
                    </pic:cNvPicPr>
                  </pic:nvPicPr>
                  <pic:blipFill>
                    <a:blip r:embed="rId16"/>
                    <a:srcRect l="713" t="935" r="713" b="618"/>
                    <a:stretch>
                      <a:fillRect/>
                    </a:stretch>
                  </pic:blipFill>
                  <pic:spPr>
                    <a:xfrm>
                      <a:off x="0" y="0"/>
                      <a:ext cx="5741670" cy="3258185"/>
                    </a:xfrm>
                    <a:prstGeom prst="rect">
                      <a:avLst/>
                    </a:prstGeom>
                    <a:noFill/>
                    <a:ln>
                      <a:noFill/>
                    </a:ln>
                  </pic:spPr>
                </pic:pic>
              </a:graphicData>
            </a:graphic>
          </wp:inline>
        </w:drawing>
      </w:r>
    </w:p>
    <w:p>
      <w:pPr>
        <w:pStyle w:val="28"/>
        <w:spacing w:after="120"/>
      </w:pPr>
      <w:r>
        <w:rPr>
          <w:rFonts w:hint="eastAsia"/>
        </w:rPr>
        <w:t>图</w:t>
      </w:r>
      <w:r>
        <w:rPr>
          <w:rFonts w:hint="eastAsia"/>
          <w:lang w:val="en-US" w:eastAsia="zh-CN"/>
        </w:rPr>
        <w:t>3</w:t>
      </w:r>
      <w:r>
        <w:t>-1</w:t>
      </w:r>
      <w:r>
        <w:rPr>
          <w:rFonts w:hint="eastAsia"/>
        </w:rPr>
        <w:t xml:space="preserve">  专项监督各环节抽检情况</w:t>
      </w:r>
    </w:p>
    <w:p>
      <w:pPr>
        <w:pStyle w:val="4"/>
        <w:spacing w:before="360" w:after="120" w:line="240" w:lineRule="auto"/>
        <w:ind w:firstLine="643" w:firstLineChars="200"/>
        <w:jc w:val="left"/>
        <w:rPr>
          <w:rFonts w:hint="eastAsia"/>
          <w:lang w:eastAsia="zh-CN"/>
        </w:rPr>
      </w:pPr>
      <w:r>
        <w:rPr>
          <w:rFonts w:hint="eastAsia"/>
          <w:lang w:eastAsia="zh-CN"/>
        </w:rPr>
        <w:t>二、专项监督各食品品种抽检情况</w:t>
      </w:r>
    </w:p>
    <w:p>
      <w:pPr>
        <w:pStyle w:val="25"/>
        <w:ind w:firstLine="640"/>
        <w:rPr>
          <w:rFonts w:hint="eastAsia"/>
        </w:rPr>
      </w:pPr>
      <w:r>
        <w:rPr>
          <w:rFonts w:hint="eastAsia"/>
          <w:lang w:eastAsia="zh-CN"/>
        </w:rPr>
        <w:t>食品</w:t>
      </w:r>
      <w:r>
        <w:rPr>
          <w:rFonts w:hint="eastAsia"/>
        </w:rPr>
        <w:t>专项监督抽检</w:t>
      </w:r>
      <w:r>
        <w:rPr>
          <w:rFonts w:hint="eastAsia"/>
          <w:lang w:eastAsia="zh-CN"/>
        </w:rPr>
        <w:t>全市生产、</w:t>
      </w:r>
      <w:r>
        <w:rPr>
          <w:rFonts w:hint="eastAsia"/>
        </w:rPr>
        <w:t>流通</w:t>
      </w:r>
      <w:r>
        <w:rPr>
          <w:rFonts w:hint="eastAsia"/>
          <w:lang w:eastAsia="zh-CN"/>
        </w:rPr>
        <w:t>、餐饮三大</w:t>
      </w:r>
      <w:r>
        <w:rPr>
          <w:rFonts w:hint="eastAsia"/>
        </w:rPr>
        <w:t>环节共</w:t>
      </w:r>
      <w:r>
        <w:t>36</w:t>
      </w:r>
      <w:r>
        <w:rPr>
          <w:rFonts w:hint="eastAsia"/>
        </w:rPr>
        <w:t>大类食品，各类食品抽检情况见表</w:t>
      </w:r>
      <w:r>
        <w:rPr>
          <w:rFonts w:hint="eastAsia"/>
          <w:lang w:val="en-US" w:eastAsia="zh-CN"/>
        </w:rPr>
        <w:t>3</w:t>
      </w:r>
      <w:r>
        <w:t>-</w:t>
      </w:r>
      <w:r>
        <w:rPr>
          <w:rFonts w:hint="eastAsia"/>
          <w:lang w:val="en-US" w:eastAsia="zh-CN"/>
        </w:rPr>
        <w:t>1</w:t>
      </w:r>
      <w:r>
        <w:rPr>
          <w:rFonts w:hint="eastAsia"/>
        </w:rPr>
        <w:t>。</w:t>
      </w:r>
    </w:p>
    <w:p>
      <w:pPr>
        <w:pStyle w:val="28"/>
        <w:bidi w:val="0"/>
        <w:rPr>
          <w:rFonts w:hint="eastAsia" w:eastAsia="楷体"/>
          <w:lang w:eastAsia="zh-CN"/>
        </w:rPr>
      </w:pPr>
      <w:bookmarkStart w:id="121" w:name="_Hlk28007054"/>
      <w:r>
        <w:rPr>
          <w:rFonts w:hint="eastAsia"/>
        </w:rPr>
        <w:t>表</w:t>
      </w:r>
      <w:r>
        <w:rPr>
          <w:rFonts w:hint="eastAsia"/>
          <w:lang w:val="en-US" w:eastAsia="zh-CN"/>
        </w:rPr>
        <w:t>3</w:t>
      </w:r>
      <w:r>
        <w:t>-1</w:t>
      </w:r>
      <w:r>
        <w:rPr>
          <w:rFonts w:hint="eastAsia"/>
          <w:lang w:val="en-US" w:eastAsia="zh-CN"/>
        </w:rPr>
        <w:t xml:space="preserve">  </w:t>
      </w:r>
      <w:r>
        <w:t>2019</w:t>
      </w:r>
      <w:r>
        <w:rPr>
          <w:rFonts w:hint="eastAsia"/>
        </w:rPr>
        <w:t>年</w:t>
      </w:r>
      <w:r>
        <w:rPr>
          <w:rFonts w:hint="eastAsia"/>
          <w:lang w:eastAsia="zh-CN"/>
        </w:rPr>
        <w:t>专项</w:t>
      </w:r>
      <w:r>
        <w:rPr>
          <w:rFonts w:hint="eastAsia"/>
        </w:rPr>
        <w:t>监督各类食品</w:t>
      </w:r>
      <w:bookmarkEnd w:id="121"/>
      <w:r>
        <w:rPr>
          <w:rFonts w:hint="eastAsia"/>
          <w:lang w:eastAsia="zh-CN"/>
        </w:rPr>
        <w:t>抽检情况表</w:t>
      </w:r>
    </w:p>
    <w:tbl>
      <w:tblPr>
        <w:tblStyle w:val="20"/>
        <w:tblW w:w="8803"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fixed"/>
        <w:tblCellMar>
          <w:top w:w="0" w:type="dxa"/>
          <w:left w:w="0" w:type="dxa"/>
          <w:bottom w:w="0" w:type="dxa"/>
          <w:right w:w="0" w:type="dxa"/>
        </w:tblCellMar>
      </w:tblPr>
      <w:tblGrid>
        <w:gridCol w:w="2717"/>
        <w:gridCol w:w="1886"/>
        <w:gridCol w:w="2014"/>
        <w:gridCol w:w="2186"/>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5B9BD5" w:themeFill="accent1"/>
            <w:noWrap/>
            <w:tcMar>
              <w:top w:w="15" w:type="dxa"/>
              <w:left w:w="15" w:type="dxa"/>
              <w:right w:w="15" w:type="dxa"/>
            </w:tcMar>
            <w:vAlign w:val="center"/>
          </w:tcPr>
          <w:p>
            <w:pPr>
              <w:pStyle w:val="29"/>
              <w:rPr>
                <w:rFonts w:hint="eastAsia"/>
                <w:color w:val="auto"/>
              </w:rPr>
            </w:pPr>
            <w:r>
              <w:rPr>
                <w:rFonts w:hint="eastAsia"/>
                <w:color w:val="auto"/>
                <w:lang w:val="en-US" w:eastAsia="zh-CN"/>
              </w:rPr>
              <w:t>食品类别</w:t>
            </w:r>
          </w:p>
        </w:tc>
        <w:tc>
          <w:tcPr>
            <w:tcW w:w="1886" w:type="dxa"/>
            <w:tcBorders>
              <w:tl2br w:val="nil"/>
              <w:tr2bl w:val="nil"/>
            </w:tcBorders>
            <w:shd w:val="clear" w:color="auto" w:fill="5B9BD5" w:themeFill="accent1"/>
            <w:noWrap/>
            <w:tcMar>
              <w:top w:w="15" w:type="dxa"/>
              <w:left w:w="15" w:type="dxa"/>
              <w:right w:w="15" w:type="dxa"/>
            </w:tcMar>
            <w:vAlign w:val="center"/>
          </w:tcPr>
          <w:p>
            <w:pPr>
              <w:pStyle w:val="29"/>
              <w:rPr>
                <w:rFonts w:hint="eastAsia"/>
                <w:color w:val="auto"/>
              </w:rPr>
            </w:pPr>
            <w:r>
              <w:rPr>
                <w:rFonts w:hint="eastAsia"/>
                <w:color w:val="auto"/>
                <w:lang w:val="en-US" w:eastAsia="zh-CN"/>
              </w:rPr>
              <w:t>抽检批次</w:t>
            </w:r>
          </w:p>
        </w:tc>
        <w:tc>
          <w:tcPr>
            <w:tcW w:w="2014" w:type="dxa"/>
            <w:tcBorders>
              <w:tl2br w:val="nil"/>
              <w:tr2bl w:val="nil"/>
            </w:tcBorders>
            <w:shd w:val="clear" w:color="auto" w:fill="5B9BD5" w:themeFill="accent1"/>
            <w:noWrap/>
            <w:tcMar>
              <w:top w:w="15" w:type="dxa"/>
              <w:left w:w="15" w:type="dxa"/>
              <w:right w:w="15" w:type="dxa"/>
            </w:tcMar>
            <w:vAlign w:val="center"/>
          </w:tcPr>
          <w:p>
            <w:pPr>
              <w:pStyle w:val="29"/>
              <w:rPr>
                <w:rFonts w:hint="eastAsia"/>
                <w:color w:val="auto"/>
              </w:rPr>
            </w:pPr>
            <w:r>
              <w:rPr>
                <w:rFonts w:hint="eastAsia"/>
                <w:color w:val="auto"/>
                <w:lang w:val="en-US" w:eastAsia="zh-CN"/>
              </w:rPr>
              <w:t>问题样品批次</w:t>
            </w:r>
          </w:p>
        </w:tc>
        <w:tc>
          <w:tcPr>
            <w:tcW w:w="2186" w:type="dxa"/>
            <w:tcBorders>
              <w:tl2br w:val="nil"/>
              <w:tr2bl w:val="nil"/>
            </w:tcBorders>
            <w:shd w:val="clear" w:color="auto" w:fill="5B9BD5" w:themeFill="accent1"/>
            <w:noWrap/>
            <w:tcMar>
              <w:top w:w="15" w:type="dxa"/>
              <w:left w:w="15" w:type="dxa"/>
              <w:right w:w="15" w:type="dxa"/>
            </w:tcMar>
            <w:vAlign w:val="center"/>
          </w:tcPr>
          <w:p>
            <w:pPr>
              <w:pStyle w:val="29"/>
              <w:rPr>
                <w:rFonts w:hint="eastAsia"/>
                <w:color w:val="auto"/>
              </w:rPr>
            </w:pPr>
            <w:r>
              <w:rPr>
                <w:rFonts w:hint="eastAsia"/>
                <w:color w:val="auto"/>
                <w:lang w:val="en-US" w:eastAsia="zh-CN"/>
              </w:rPr>
              <w:t>问题发现率</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保健食品</w:t>
            </w:r>
          </w:p>
        </w:tc>
        <w:tc>
          <w:tcPr>
            <w:tcW w:w="18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330</w:t>
            </w:r>
          </w:p>
        </w:tc>
        <w:tc>
          <w:tcPr>
            <w:tcW w:w="2014"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2</w:t>
            </w:r>
          </w:p>
        </w:tc>
        <w:tc>
          <w:tcPr>
            <w:tcW w:w="21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0.61%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饼干</w:t>
            </w:r>
          </w:p>
        </w:tc>
        <w:tc>
          <w:tcPr>
            <w:tcW w:w="18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506</w:t>
            </w:r>
          </w:p>
        </w:tc>
        <w:tc>
          <w:tcPr>
            <w:tcW w:w="2014"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8</w:t>
            </w:r>
          </w:p>
        </w:tc>
        <w:tc>
          <w:tcPr>
            <w:tcW w:w="21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1.58%</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餐饮食品</w:t>
            </w:r>
          </w:p>
        </w:tc>
        <w:tc>
          <w:tcPr>
            <w:tcW w:w="18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1669</w:t>
            </w:r>
          </w:p>
        </w:tc>
        <w:tc>
          <w:tcPr>
            <w:tcW w:w="2014"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18</w:t>
            </w:r>
          </w:p>
        </w:tc>
        <w:tc>
          <w:tcPr>
            <w:tcW w:w="21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1.08%</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茶叶及相关制品</w:t>
            </w:r>
          </w:p>
        </w:tc>
        <w:tc>
          <w:tcPr>
            <w:tcW w:w="18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237</w:t>
            </w:r>
          </w:p>
        </w:tc>
        <w:tc>
          <w:tcPr>
            <w:tcW w:w="2014"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6</w:t>
            </w:r>
          </w:p>
        </w:tc>
        <w:tc>
          <w:tcPr>
            <w:tcW w:w="21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2.53%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炒货食品及坚果制品</w:t>
            </w:r>
          </w:p>
        </w:tc>
        <w:tc>
          <w:tcPr>
            <w:tcW w:w="18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309</w:t>
            </w:r>
          </w:p>
        </w:tc>
        <w:tc>
          <w:tcPr>
            <w:tcW w:w="2014"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6</w:t>
            </w:r>
          </w:p>
        </w:tc>
        <w:tc>
          <w:tcPr>
            <w:tcW w:w="21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1.94%</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蛋制品</w:t>
            </w:r>
          </w:p>
        </w:tc>
        <w:tc>
          <w:tcPr>
            <w:tcW w:w="18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87</w:t>
            </w:r>
          </w:p>
        </w:tc>
        <w:tc>
          <w:tcPr>
            <w:tcW w:w="2014"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2</w:t>
            </w:r>
          </w:p>
        </w:tc>
        <w:tc>
          <w:tcPr>
            <w:tcW w:w="21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2.30%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淀粉及淀粉制品</w:t>
            </w:r>
          </w:p>
        </w:tc>
        <w:tc>
          <w:tcPr>
            <w:tcW w:w="18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246</w:t>
            </w:r>
          </w:p>
        </w:tc>
        <w:tc>
          <w:tcPr>
            <w:tcW w:w="2014"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5</w:t>
            </w:r>
          </w:p>
        </w:tc>
        <w:tc>
          <w:tcPr>
            <w:tcW w:w="21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2.03%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豆制品</w:t>
            </w:r>
          </w:p>
        </w:tc>
        <w:tc>
          <w:tcPr>
            <w:tcW w:w="18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177</w:t>
            </w:r>
          </w:p>
        </w:tc>
        <w:tc>
          <w:tcPr>
            <w:tcW w:w="2014"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2</w:t>
            </w:r>
          </w:p>
        </w:tc>
        <w:tc>
          <w:tcPr>
            <w:tcW w:w="21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1.13%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方便食品</w:t>
            </w:r>
          </w:p>
        </w:tc>
        <w:tc>
          <w:tcPr>
            <w:tcW w:w="18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366</w:t>
            </w:r>
          </w:p>
        </w:tc>
        <w:tc>
          <w:tcPr>
            <w:tcW w:w="2014"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15</w:t>
            </w:r>
          </w:p>
        </w:tc>
        <w:tc>
          <w:tcPr>
            <w:tcW w:w="21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4.10%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蜂产品</w:t>
            </w:r>
          </w:p>
        </w:tc>
        <w:tc>
          <w:tcPr>
            <w:tcW w:w="18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145</w:t>
            </w:r>
          </w:p>
        </w:tc>
        <w:tc>
          <w:tcPr>
            <w:tcW w:w="2014"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5</w:t>
            </w:r>
          </w:p>
        </w:tc>
        <w:tc>
          <w:tcPr>
            <w:tcW w:w="21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3.45%</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5B9BD5" w:themeFill="accent1"/>
            <w:noWrap/>
            <w:tcMar>
              <w:top w:w="15" w:type="dxa"/>
              <w:left w:w="15" w:type="dxa"/>
              <w:right w:w="15" w:type="dxa"/>
            </w:tcMar>
            <w:vAlign w:val="center"/>
          </w:tcPr>
          <w:p>
            <w:pPr>
              <w:pStyle w:val="29"/>
              <w:rPr>
                <w:rFonts w:hint="eastAsia" w:ascii="黑体" w:hAnsi="黑体" w:eastAsia="黑体" w:cs="Times New Roman"/>
                <w:b/>
                <w:bCs/>
                <w:color w:val="auto"/>
                <w:kern w:val="0"/>
                <w:sz w:val="21"/>
                <w:szCs w:val="21"/>
                <w:lang w:val="en-US" w:eastAsia="zh-CN" w:bidi="ar-SA"/>
              </w:rPr>
            </w:pPr>
            <w:r>
              <w:rPr>
                <w:rFonts w:hint="eastAsia"/>
                <w:color w:val="auto"/>
                <w:lang w:val="en-US" w:eastAsia="zh-CN"/>
              </w:rPr>
              <w:t>食品类别</w:t>
            </w:r>
          </w:p>
        </w:tc>
        <w:tc>
          <w:tcPr>
            <w:tcW w:w="1886" w:type="dxa"/>
            <w:tcBorders>
              <w:tl2br w:val="nil"/>
              <w:tr2bl w:val="nil"/>
            </w:tcBorders>
            <w:shd w:val="clear" w:color="auto" w:fill="5B9BD5" w:themeFill="accent1"/>
            <w:noWrap/>
            <w:tcMar>
              <w:top w:w="15" w:type="dxa"/>
              <w:left w:w="15" w:type="dxa"/>
              <w:right w:w="15" w:type="dxa"/>
            </w:tcMar>
            <w:vAlign w:val="center"/>
          </w:tcPr>
          <w:p>
            <w:pPr>
              <w:pStyle w:val="29"/>
              <w:rPr>
                <w:rFonts w:hint="eastAsia" w:ascii="黑体" w:hAnsi="黑体" w:eastAsia="黑体" w:cs="Times New Roman"/>
                <w:b/>
                <w:bCs/>
                <w:color w:val="auto"/>
                <w:kern w:val="0"/>
                <w:sz w:val="21"/>
                <w:szCs w:val="21"/>
                <w:lang w:val="en-US" w:eastAsia="zh-CN" w:bidi="ar-SA"/>
              </w:rPr>
            </w:pPr>
            <w:r>
              <w:rPr>
                <w:rFonts w:hint="eastAsia"/>
                <w:color w:val="auto"/>
                <w:lang w:val="en-US" w:eastAsia="zh-CN"/>
              </w:rPr>
              <w:t>抽检批次</w:t>
            </w:r>
          </w:p>
        </w:tc>
        <w:tc>
          <w:tcPr>
            <w:tcW w:w="2014" w:type="dxa"/>
            <w:tcBorders>
              <w:tl2br w:val="nil"/>
              <w:tr2bl w:val="nil"/>
            </w:tcBorders>
            <w:shd w:val="clear" w:color="auto" w:fill="5B9BD5" w:themeFill="accent1"/>
            <w:noWrap/>
            <w:tcMar>
              <w:top w:w="15" w:type="dxa"/>
              <w:left w:w="15" w:type="dxa"/>
              <w:right w:w="15" w:type="dxa"/>
            </w:tcMar>
            <w:vAlign w:val="center"/>
          </w:tcPr>
          <w:p>
            <w:pPr>
              <w:pStyle w:val="29"/>
              <w:rPr>
                <w:rFonts w:hint="eastAsia" w:ascii="黑体" w:hAnsi="黑体" w:eastAsia="黑体" w:cs="Times New Roman"/>
                <w:b/>
                <w:bCs/>
                <w:color w:val="auto"/>
                <w:kern w:val="0"/>
                <w:sz w:val="21"/>
                <w:szCs w:val="21"/>
                <w:lang w:val="en-US" w:eastAsia="zh-CN" w:bidi="ar-SA"/>
              </w:rPr>
            </w:pPr>
            <w:r>
              <w:rPr>
                <w:rFonts w:hint="eastAsia"/>
                <w:color w:val="auto"/>
                <w:lang w:val="en-US" w:eastAsia="zh-CN"/>
              </w:rPr>
              <w:t>问题样品批次</w:t>
            </w:r>
          </w:p>
        </w:tc>
        <w:tc>
          <w:tcPr>
            <w:tcW w:w="2186" w:type="dxa"/>
            <w:tcBorders>
              <w:tl2br w:val="nil"/>
              <w:tr2bl w:val="nil"/>
            </w:tcBorders>
            <w:shd w:val="clear" w:color="auto" w:fill="5B9BD5" w:themeFill="accent1"/>
            <w:noWrap/>
            <w:tcMar>
              <w:top w:w="15" w:type="dxa"/>
              <w:left w:w="15" w:type="dxa"/>
              <w:right w:w="15" w:type="dxa"/>
            </w:tcMar>
            <w:vAlign w:val="center"/>
          </w:tcPr>
          <w:p>
            <w:pPr>
              <w:pStyle w:val="29"/>
              <w:rPr>
                <w:rFonts w:hint="eastAsia" w:ascii="黑体" w:hAnsi="黑体" w:eastAsia="黑体" w:cs="Times New Roman"/>
                <w:b/>
                <w:bCs/>
                <w:color w:val="auto"/>
                <w:kern w:val="0"/>
                <w:sz w:val="21"/>
                <w:szCs w:val="21"/>
                <w:lang w:val="en-US" w:eastAsia="zh-CN" w:bidi="ar-SA"/>
              </w:rPr>
            </w:pPr>
            <w:r>
              <w:rPr>
                <w:rFonts w:hint="eastAsia"/>
                <w:color w:val="auto"/>
                <w:lang w:val="en-US" w:eastAsia="zh-CN"/>
              </w:rPr>
              <w:t>问题发现率</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糕点</w:t>
            </w:r>
          </w:p>
        </w:tc>
        <w:tc>
          <w:tcPr>
            <w:tcW w:w="18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1077</w:t>
            </w:r>
          </w:p>
        </w:tc>
        <w:tc>
          <w:tcPr>
            <w:tcW w:w="2014"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26</w:t>
            </w:r>
          </w:p>
        </w:tc>
        <w:tc>
          <w:tcPr>
            <w:tcW w:w="21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2.41%</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罐头</w:t>
            </w:r>
          </w:p>
        </w:tc>
        <w:tc>
          <w:tcPr>
            <w:tcW w:w="18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56</w:t>
            </w:r>
          </w:p>
        </w:tc>
        <w:tc>
          <w:tcPr>
            <w:tcW w:w="2014"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2</w:t>
            </w:r>
          </w:p>
        </w:tc>
        <w:tc>
          <w:tcPr>
            <w:tcW w:w="21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3.57%</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酒类</w:t>
            </w:r>
          </w:p>
        </w:tc>
        <w:tc>
          <w:tcPr>
            <w:tcW w:w="18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1568</w:t>
            </w:r>
          </w:p>
        </w:tc>
        <w:tc>
          <w:tcPr>
            <w:tcW w:w="2014"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25</w:t>
            </w:r>
          </w:p>
        </w:tc>
        <w:tc>
          <w:tcPr>
            <w:tcW w:w="21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1.59%</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可可及焙烤咖啡产品</w:t>
            </w:r>
          </w:p>
        </w:tc>
        <w:tc>
          <w:tcPr>
            <w:tcW w:w="18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20</w:t>
            </w:r>
          </w:p>
        </w:tc>
        <w:tc>
          <w:tcPr>
            <w:tcW w:w="2014"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2</w:t>
            </w:r>
          </w:p>
        </w:tc>
        <w:tc>
          <w:tcPr>
            <w:tcW w:w="21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10.00%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冷冻饮品</w:t>
            </w:r>
          </w:p>
        </w:tc>
        <w:tc>
          <w:tcPr>
            <w:tcW w:w="18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21</w:t>
            </w:r>
          </w:p>
        </w:tc>
        <w:tc>
          <w:tcPr>
            <w:tcW w:w="2014"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0</w:t>
            </w:r>
          </w:p>
        </w:tc>
        <w:tc>
          <w:tcPr>
            <w:tcW w:w="21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0.00%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粮食加工品</w:t>
            </w:r>
          </w:p>
        </w:tc>
        <w:tc>
          <w:tcPr>
            <w:tcW w:w="18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4221</w:t>
            </w:r>
          </w:p>
        </w:tc>
        <w:tc>
          <w:tcPr>
            <w:tcW w:w="2014"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44</w:t>
            </w:r>
          </w:p>
        </w:tc>
        <w:tc>
          <w:tcPr>
            <w:tcW w:w="21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1.04%</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其他食品</w:t>
            </w:r>
          </w:p>
        </w:tc>
        <w:tc>
          <w:tcPr>
            <w:tcW w:w="18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85</w:t>
            </w:r>
          </w:p>
        </w:tc>
        <w:tc>
          <w:tcPr>
            <w:tcW w:w="2014"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1</w:t>
            </w:r>
          </w:p>
        </w:tc>
        <w:tc>
          <w:tcPr>
            <w:tcW w:w="21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1.18%</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肉制品</w:t>
            </w:r>
          </w:p>
        </w:tc>
        <w:tc>
          <w:tcPr>
            <w:tcW w:w="18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1093</w:t>
            </w:r>
          </w:p>
        </w:tc>
        <w:tc>
          <w:tcPr>
            <w:tcW w:w="2014"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8</w:t>
            </w:r>
          </w:p>
        </w:tc>
        <w:tc>
          <w:tcPr>
            <w:tcW w:w="21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0.73%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乳制品</w:t>
            </w:r>
          </w:p>
        </w:tc>
        <w:tc>
          <w:tcPr>
            <w:tcW w:w="18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625</w:t>
            </w:r>
          </w:p>
        </w:tc>
        <w:tc>
          <w:tcPr>
            <w:tcW w:w="2014"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1</w:t>
            </w:r>
          </w:p>
        </w:tc>
        <w:tc>
          <w:tcPr>
            <w:tcW w:w="21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0.16%</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食品添加剂</w:t>
            </w:r>
          </w:p>
        </w:tc>
        <w:tc>
          <w:tcPr>
            <w:tcW w:w="18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71</w:t>
            </w:r>
          </w:p>
        </w:tc>
        <w:tc>
          <w:tcPr>
            <w:tcW w:w="2014"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0</w:t>
            </w:r>
          </w:p>
        </w:tc>
        <w:tc>
          <w:tcPr>
            <w:tcW w:w="21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0.00%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食品相关产品</w:t>
            </w:r>
          </w:p>
        </w:tc>
        <w:tc>
          <w:tcPr>
            <w:tcW w:w="18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97</w:t>
            </w:r>
          </w:p>
        </w:tc>
        <w:tc>
          <w:tcPr>
            <w:tcW w:w="2014"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0</w:t>
            </w:r>
          </w:p>
        </w:tc>
        <w:tc>
          <w:tcPr>
            <w:tcW w:w="21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0.00%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食糖</w:t>
            </w:r>
          </w:p>
        </w:tc>
        <w:tc>
          <w:tcPr>
            <w:tcW w:w="18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71</w:t>
            </w:r>
          </w:p>
        </w:tc>
        <w:tc>
          <w:tcPr>
            <w:tcW w:w="2014"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5</w:t>
            </w:r>
          </w:p>
        </w:tc>
        <w:tc>
          <w:tcPr>
            <w:tcW w:w="21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7.04%</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食盐</w:t>
            </w:r>
          </w:p>
        </w:tc>
        <w:tc>
          <w:tcPr>
            <w:tcW w:w="18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12</w:t>
            </w:r>
          </w:p>
        </w:tc>
        <w:tc>
          <w:tcPr>
            <w:tcW w:w="2014"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0</w:t>
            </w:r>
          </w:p>
        </w:tc>
        <w:tc>
          <w:tcPr>
            <w:tcW w:w="21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0.00%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食用农产品</w:t>
            </w:r>
          </w:p>
        </w:tc>
        <w:tc>
          <w:tcPr>
            <w:tcW w:w="18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310</w:t>
            </w:r>
          </w:p>
        </w:tc>
        <w:tc>
          <w:tcPr>
            <w:tcW w:w="2014"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3</w:t>
            </w:r>
          </w:p>
        </w:tc>
        <w:tc>
          <w:tcPr>
            <w:tcW w:w="21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0.97%</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食用油、油脂及其制品</w:t>
            </w:r>
          </w:p>
        </w:tc>
        <w:tc>
          <w:tcPr>
            <w:tcW w:w="18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589</w:t>
            </w:r>
          </w:p>
        </w:tc>
        <w:tc>
          <w:tcPr>
            <w:tcW w:w="2014"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31</w:t>
            </w:r>
          </w:p>
        </w:tc>
        <w:tc>
          <w:tcPr>
            <w:tcW w:w="21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5.26%</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蔬菜制品</w:t>
            </w:r>
          </w:p>
        </w:tc>
        <w:tc>
          <w:tcPr>
            <w:tcW w:w="18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232</w:t>
            </w:r>
          </w:p>
        </w:tc>
        <w:tc>
          <w:tcPr>
            <w:tcW w:w="2014"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6</w:t>
            </w:r>
          </w:p>
        </w:tc>
        <w:tc>
          <w:tcPr>
            <w:tcW w:w="21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2.59%</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薯类和膨化食品</w:t>
            </w:r>
          </w:p>
        </w:tc>
        <w:tc>
          <w:tcPr>
            <w:tcW w:w="18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71</w:t>
            </w:r>
          </w:p>
        </w:tc>
        <w:tc>
          <w:tcPr>
            <w:tcW w:w="2014"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0</w:t>
            </w:r>
          </w:p>
        </w:tc>
        <w:tc>
          <w:tcPr>
            <w:tcW w:w="21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0.00%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水产制品</w:t>
            </w:r>
          </w:p>
        </w:tc>
        <w:tc>
          <w:tcPr>
            <w:tcW w:w="18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304</w:t>
            </w:r>
          </w:p>
        </w:tc>
        <w:tc>
          <w:tcPr>
            <w:tcW w:w="2014"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6</w:t>
            </w:r>
          </w:p>
        </w:tc>
        <w:tc>
          <w:tcPr>
            <w:tcW w:w="21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1.97%</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水果制品</w:t>
            </w:r>
          </w:p>
        </w:tc>
        <w:tc>
          <w:tcPr>
            <w:tcW w:w="18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453</w:t>
            </w:r>
          </w:p>
        </w:tc>
        <w:tc>
          <w:tcPr>
            <w:tcW w:w="2014"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12</w:t>
            </w:r>
          </w:p>
        </w:tc>
        <w:tc>
          <w:tcPr>
            <w:tcW w:w="21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2.65%</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速冻食品</w:t>
            </w:r>
          </w:p>
        </w:tc>
        <w:tc>
          <w:tcPr>
            <w:tcW w:w="18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176</w:t>
            </w:r>
          </w:p>
        </w:tc>
        <w:tc>
          <w:tcPr>
            <w:tcW w:w="2014"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11</w:t>
            </w:r>
          </w:p>
        </w:tc>
        <w:tc>
          <w:tcPr>
            <w:tcW w:w="21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6.25%</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糖果制品</w:t>
            </w:r>
          </w:p>
        </w:tc>
        <w:tc>
          <w:tcPr>
            <w:tcW w:w="18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166</w:t>
            </w:r>
          </w:p>
        </w:tc>
        <w:tc>
          <w:tcPr>
            <w:tcW w:w="2014"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1</w:t>
            </w:r>
          </w:p>
        </w:tc>
        <w:tc>
          <w:tcPr>
            <w:tcW w:w="21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0.60%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特殊膳食食品</w:t>
            </w:r>
          </w:p>
        </w:tc>
        <w:tc>
          <w:tcPr>
            <w:tcW w:w="18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108</w:t>
            </w:r>
          </w:p>
        </w:tc>
        <w:tc>
          <w:tcPr>
            <w:tcW w:w="2014"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2</w:t>
            </w:r>
          </w:p>
        </w:tc>
        <w:tc>
          <w:tcPr>
            <w:tcW w:w="21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1.85%</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特殊医学用途配方食品</w:t>
            </w:r>
          </w:p>
        </w:tc>
        <w:tc>
          <w:tcPr>
            <w:tcW w:w="18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5</w:t>
            </w:r>
          </w:p>
        </w:tc>
        <w:tc>
          <w:tcPr>
            <w:tcW w:w="2014"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0</w:t>
            </w:r>
          </w:p>
        </w:tc>
        <w:tc>
          <w:tcPr>
            <w:tcW w:w="21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0.00%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调味品</w:t>
            </w:r>
          </w:p>
        </w:tc>
        <w:tc>
          <w:tcPr>
            <w:tcW w:w="18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391</w:t>
            </w:r>
          </w:p>
        </w:tc>
        <w:tc>
          <w:tcPr>
            <w:tcW w:w="2014"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3</w:t>
            </w:r>
          </w:p>
        </w:tc>
        <w:tc>
          <w:tcPr>
            <w:tcW w:w="21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0.77%</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饮料</w:t>
            </w:r>
          </w:p>
        </w:tc>
        <w:tc>
          <w:tcPr>
            <w:tcW w:w="18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398</w:t>
            </w:r>
          </w:p>
        </w:tc>
        <w:tc>
          <w:tcPr>
            <w:tcW w:w="2014"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9</w:t>
            </w:r>
          </w:p>
        </w:tc>
        <w:tc>
          <w:tcPr>
            <w:tcW w:w="21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2.26%</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婴幼儿配方食品</w:t>
            </w:r>
          </w:p>
        </w:tc>
        <w:tc>
          <w:tcPr>
            <w:tcW w:w="18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5</w:t>
            </w:r>
          </w:p>
        </w:tc>
        <w:tc>
          <w:tcPr>
            <w:tcW w:w="2014"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0</w:t>
            </w:r>
          </w:p>
        </w:tc>
        <w:tc>
          <w:tcPr>
            <w:tcW w:w="2186" w:type="dxa"/>
            <w:tcBorders>
              <w:tl2br w:val="nil"/>
              <w:tr2bl w:val="nil"/>
            </w:tcBorders>
            <w:shd w:val="clear" w:color="auto" w:fill="F1F1F1" w:themeFill="background1" w:themeFillShade="F2"/>
            <w:noWrap/>
            <w:tcMar>
              <w:top w:w="15" w:type="dxa"/>
              <w:left w:w="15" w:type="dxa"/>
              <w:right w:w="15" w:type="dxa"/>
            </w:tcMar>
            <w:vAlign w:val="center"/>
          </w:tcPr>
          <w:p>
            <w:pPr>
              <w:pStyle w:val="30"/>
              <w:rPr>
                <w:rFonts w:hint="eastAsia"/>
                <w:color w:val="auto"/>
              </w:rPr>
            </w:pPr>
            <w:r>
              <w:rPr>
                <w:rFonts w:hint="eastAsia"/>
                <w:color w:val="auto"/>
                <w:lang w:val="en-US" w:eastAsia="zh-CN"/>
              </w:rPr>
              <w:t>0.00%</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auto"/>
          <w:tblLayout w:type="fixed"/>
          <w:tblCellMar>
            <w:top w:w="0" w:type="dxa"/>
            <w:left w:w="0" w:type="dxa"/>
            <w:bottom w:w="0" w:type="dxa"/>
            <w:right w:w="0" w:type="dxa"/>
          </w:tblCellMar>
        </w:tblPrEx>
        <w:trPr>
          <w:cantSplit/>
          <w:trHeight w:val="454" w:hRule="atLeast"/>
          <w:tblHeader/>
        </w:trPr>
        <w:tc>
          <w:tcPr>
            <w:tcW w:w="2717"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总计</w:t>
            </w:r>
          </w:p>
        </w:tc>
        <w:tc>
          <w:tcPr>
            <w:tcW w:w="18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16297</w:t>
            </w:r>
          </w:p>
        </w:tc>
        <w:tc>
          <w:tcPr>
            <w:tcW w:w="2014"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267</w:t>
            </w:r>
          </w:p>
        </w:tc>
        <w:tc>
          <w:tcPr>
            <w:tcW w:w="2186" w:type="dxa"/>
            <w:tcBorders>
              <w:tl2br w:val="nil"/>
              <w:tr2bl w:val="nil"/>
            </w:tcBorders>
            <w:shd w:val="clear" w:color="auto" w:fill="DEEBF6" w:themeFill="accent1" w:themeFillTint="32"/>
            <w:noWrap/>
            <w:tcMar>
              <w:top w:w="15" w:type="dxa"/>
              <w:left w:w="15" w:type="dxa"/>
              <w:right w:w="15" w:type="dxa"/>
            </w:tcMar>
            <w:vAlign w:val="center"/>
          </w:tcPr>
          <w:p>
            <w:pPr>
              <w:pStyle w:val="30"/>
              <w:rPr>
                <w:rFonts w:hint="eastAsia"/>
                <w:color w:val="auto"/>
              </w:rPr>
            </w:pPr>
            <w:r>
              <w:rPr>
                <w:rFonts w:hint="eastAsia"/>
                <w:color w:val="auto"/>
                <w:lang w:val="en-US" w:eastAsia="zh-CN"/>
              </w:rPr>
              <w:t>1.64%</w:t>
            </w:r>
          </w:p>
        </w:tc>
      </w:tr>
    </w:tbl>
    <w:p>
      <w:pPr>
        <w:pStyle w:val="4"/>
        <w:numPr>
          <w:numId w:val="0"/>
        </w:numPr>
        <w:spacing w:before="360" w:after="120" w:line="240" w:lineRule="auto"/>
        <w:ind w:firstLine="643" w:firstLineChars="200"/>
        <w:jc w:val="left"/>
        <w:rPr>
          <w:rFonts w:hint="eastAsia"/>
          <w:lang w:eastAsia="zh-CN"/>
        </w:rPr>
      </w:pPr>
      <w:r>
        <w:rPr>
          <w:rFonts w:hint="eastAsia"/>
          <w:lang w:eastAsia="zh-CN"/>
        </w:rPr>
        <w:t>三、食品专项监督抽检发现的问题</w:t>
      </w:r>
    </w:p>
    <w:p>
      <w:pPr>
        <w:pStyle w:val="25"/>
        <w:bidi w:val="0"/>
      </w:pPr>
      <w:r>
        <w:rPr>
          <w:rFonts w:hint="eastAsia"/>
        </w:rPr>
        <w:t>2</w:t>
      </w:r>
      <w:r>
        <w:t>019</w:t>
      </w:r>
      <w:r>
        <w:rPr>
          <w:rFonts w:hint="eastAsia"/>
        </w:rPr>
        <w:t>年专项监督抽检共发现2</w:t>
      </w:r>
      <w:r>
        <w:t>67</w:t>
      </w:r>
      <w:r>
        <w:rPr>
          <w:rFonts w:hint="eastAsia"/>
        </w:rPr>
        <w:t>批次问题样品，检出2</w:t>
      </w:r>
      <w:r>
        <w:t>75</w:t>
      </w:r>
      <w:r>
        <w:rPr>
          <w:rFonts w:hint="eastAsia"/>
        </w:rPr>
        <w:t>项次问题项目。其中超范围超限量使用食品添加剂是主要问题项目类型，占3</w:t>
      </w:r>
      <w:r>
        <w:t>9.27%</w:t>
      </w:r>
      <w:r>
        <w:rPr>
          <w:rFonts w:hint="eastAsia"/>
        </w:rPr>
        <w:t>；其次是标签，占2</w:t>
      </w:r>
      <w:r>
        <w:t>9.82%</w:t>
      </w:r>
      <w:r>
        <w:rPr>
          <w:rFonts w:hint="eastAsia"/>
        </w:rPr>
        <w:t>；再次是生物毒素及品质指标，占比均为8</w:t>
      </w:r>
      <w:r>
        <w:t>.36%</w:t>
      </w:r>
      <w:r>
        <w:rPr>
          <w:rFonts w:hint="eastAsia"/>
        </w:rPr>
        <w:t>；微生物污染占比为7</w:t>
      </w:r>
      <w:r>
        <w:t>.64%</w:t>
      </w:r>
      <w:r>
        <w:rPr>
          <w:rFonts w:hint="eastAsia"/>
        </w:rPr>
        <w:t>；其他污染物为3</w:t>
      </w:r>
      <w:r>
        <w:t>.27%</w:t>
      </w:r>
      <w:r>
        <w:rPr>
          <w:rFonts w:hint="eastAsia"/>
        </w:rPr>
        <w:t>；最后兽药残留、非食用物质、金属等元素污染物及农药残留也有检出，占比为：1</w:t>
      </w:r>
      <w:r>
        <w:t>.45</w:t>
      </w:r>
      <w:r>
        <w:rPr>
          <w:rFonts w:hint="eastAsia"/>
        </w:rPr>
        <w:t>%、0</w:t>
      </w:r>
      <w:r>
        <w:t>.73</w:t>
      </w:r>
      <w:r>
        <w:rPr>
          <w:rFonts w:hint="eastAsia"/>
        </w:rPr>
        <w:t>%、0</w:t>
      </w:r>
      <w:r>
        <w:t>.73%</w:t>
      </w:r>
      <w:r>
        <w:rPr>
          <w:rFonts w:hint="eastAsia"/>
        </w:rPr>
        <w:t>及0</w:t>
      </w:r>
      <w:r>
        <w:t>.36</w:t>
      </w:r>
      <w:r>
        <w:rPr>
          <w:rFonts w:hint="eastAsia"/>
        </w:rPr>
        <w:t>%</w:t>
      </w:r>
      <w:r>
        <w:rPr>
          <w:rFonts w:hint="eastAsia"/>
          <w:lang w:eastAsia="zh-CN"/>
        </w:rPr>
        <w:t>，</w:t>
      </w:r>
      <w:r>
        <w:rPr>
          <w:rFonts w:hint="eastAsia"/>
        </w:rPr>
        <w:t>具体情况见图</w:t>
      </w:r>
      <w:r>
        <w:rPr>
          <w:rFonts w:hint="eastAsia"/>
          <w:lang w:val="en-US" w:eastAsia="zh-CN"/>
        </w:rPr>
        <w:t>3</w:t>
      </w:r>
      <w:r>
        <w:t>-2</w:t>
      </w:r>
      <w:r>
        <w:rPr>
          <w:rFonts w:hint="eastAsia"/>
        </w:rPr>
        <w:t>。其中有1</w:t>
      </w:r>
      <w:r>
        <w:t>5</w:t>
      </w:r>
      <w:r>
        <w:rPr>
          <w:rFonts w:hint="eastAsia"/>
        </w:rPr>
        <w:t>大类食品</w:t>
      </w:r>
      <w:r>
        <w:t>22</w:t>
      </w:r>
      <w:r>
        <w:rPr>
          <w:rFonts w:hint="eastAsia"/>
        </w:rPr>
        <w:t>细类食品涉及超范围超限量使用食品添加剂的问题。</w:t>
      </w:r>
    </w:p>
    <w:p>
      <w:pPr>
        <w:spacing w:line="560" w:lineRule="exact"/>
        <w:ind w:firstLine="640" w:firstLineChars="200"/>
        <w:rPr>
          <w:rFonts w:hint="eastAsia" w:ascii="仿宋" w:hAnsi="仿宋" w:eastAsia="仿宋"/>
          <w:sz w:val="32"/>
          <w:szCs w:val="32"/>
        </w:rPr>
      </w:pPr>
    </w:p>
    <w:p>
      <w:pPr>
        <w:widowControl/>
        <w:jc w:val="center"/>
        <w:rPr>
          <w:rFonts w:ascii="宋体" w:hAnsi="宋体" w:cs="宋体"/>
          <w:kern w:val="0"/>
          <w:sz w:val="24"/>
          <w:szCs w:val="24"/>
        </w:rPr>
      </w:pPr>
      <w:r>
        <w:rPr>
          <w:rFonts w:ascii="宋体" w:hAnsi="宋体" w:cs="宋体"/>
          <w:kern w:val="0"/>
          <w:sz w:val="24"/>
          <w:szCs w:val="24"/>
        </w:rPr>
        <w:fldChar w:fldCharType="begin"/>
      </w:r>
      <w:r>
        <w:rPr>
          <w:rFonts w:ascii="宋体" w:hAnsi="宋体" w:cs="宋体"/>
          <w:kern w:val="0"/>
          <w:sz w:val="24"/>
          <w:szCs w:val="24"/>
        </w:rPr>
        <w:instrText xml:space="preserve"> INCLUDEPICTURE "C:\\Users\\test\\AppData\\Roaming\\Tencent\\Users\\295473199\\QQ\\WinTemp\\RichOle\\{0349CR]@WELM3@ZS0E$LKD.png" \* MERGEFORMATINET </w:instrText>
      </w:r>
      <w:r>
        <w:rPr>
          <w:rFonts w:ascii="宋体" w:hAnsi="宋体" w:cs="宋体"/>
          <w:kern w:val="0"/>
          <w:sz w:val="24"/>
          <w:szCs w:val="24"/>
        </w:rPr>
        <w:fldChar w:fldCharType="separate"/>
      </w:r>
      <w:r>
        <w:rPr>
          <w:rFonts w:ascii="宋体" w:hAnsi="宋体" w:cs="宋体"/>
          <w:kern w:val="0"/>
          <w:sz w:val="24"/>
          <w:szCs w:val="24"/>
        </w:rPr>
        <w:drawing>
          <wp:inline distT="0" distB="0" distL="114300" distR="114300">
            <wp:extent cx="5205095" cy="3522345"/>
            <wp:effectExtent l="0" t="0" r="14605" b="1905"/>
            <wp:docPr id="3" name="图片 1" descr="{0349CR]@WELM3@ZS0E$L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0349CR]@WELM3@ZS0E$LKD"/>
                    <pic:cNvPicPr>
                      <a:picLocks noChangeAspect="1"/>
                    </pic:cNvPicPr>
                  </pic:nvPicPr>
                  <pic:blipFill>
                    <a:blip r:embed="rId17"/>
                    <a:srcRect l="9990" t="1146" r="1192" b="1923"/>
                    <a:stretch>
                      <a:fillRect/>
                    </a:stretch>
                  </pic:blipFill>
                  <pic:spPr>
                    <a:xfrm>
                      <a:off x="0" y="0"/>
                      <a:ext cx="5205095" cy="3522345"/>
                    </a:xfrm>
                    <a:prstGeom prst="rect">
                      <a:avLst/>
                    </a:prstGeom>
                    <a:noFill/>
                    <a:ln>
                      <a:noFill/>
                    </a:ln>
                  </pic:spPr>
                </pic:pic>
              </a:graphicData>
            </a:graphic>
          </wp:inline>
        </w:drawing>
      </w:r>
      <w:r>
        <w:rPr>
          <w:rFonts w:ascii="宋体" w:hAnsi="宋体" w:cs="宋体"/>
          <w:kern w:val="0"/>
          <w:sz w:val="24"/>
          <w:szCs w:val="24"/>
        </w:rPr>
        <w:fldChar w:fldCharType="end"/>
      </w:r>
    </w:p>
    <w:p>
      <w:pPr>
        <w:pStyle w:val="2"/>
      </w:pPr>
    </w:p>
    <w:p>
      <w:pPr>
        <w:pStyle w:val="28"/>
        <w:bidi w:val="0"/>
      </w:pPr>
      <w:r>
        <w:rPr>
          <w:rFonts w:hint="eastAsia"/>
        </w:rPr>
        <w:t>图</w:t>
      </w:r>
      <w:r>
        <w:rPr>
          <w:rFonts w:hint="eastAsia"/>
          <w:lang w:val="en-US" w:eastAsia="zh-CN"/>
        </w:rPr>
        <w:t>3</w:t>
      </w:r>
      <w:r>
        <w:t>-2</w:t>
      </w:r>
      <w:r>
        <w:rPr>
          <w:rFonts w:hint="eastAsia"/>
          <w:lang w:val="en-US" w:eastAsia="zh-CN"/>
        </w:rPr>
        <w:t xml:space="preserve">  </w:t>
      </w:r>
      <w:r>
        <w:rPr>
          <w:rFonts w:hint="eastAsia"/>
        </w:rPr>
        <w:t>专项监督抽检问题项目类型检出情况</w:t>
      </w:r>
    </w:p>
    <w:p>
      <w:pPr>
        <w:numPr>
          <w:ilvl w:val="0"/>
          <w:numId w:val="0"/>
        </w:numPr>
        <w:rPr>
          <w:rFonts w:hint="eastAsia"/>
          <w:lang w:eastAsia="zh-CN"/>
        </w:rPr>
      </w:pPr>
    </w:p>
    <w:p>
      <w:pPr>
        <w:pStyle w:val="19"/>
        <w:rPr>
          <w:rFonts w:hint="eastAsia"/>
          <w:color w:val="auto"/>
        </w:rPr>
      </w:pPr>
    </w:p>
    <w:p>
      <w:pPr>
        <w:pStyle w:val="19"/>
        <w:rPr>
          <w:rFonts w:hint="eastAsia"/>
          <w:color w:val="auto"/>
        </w:rPr>
      </w:pPr>
    </w:p>
    <w:p>
      <w:pPr>
        <w:pStyle w:val="19"/>
        <w:rPr>
          <w:color w:val="auto"/>
        </w:rPr>
      </w:pPr>
      <w:r>
        <w:rPr>
          <w:rFonts w:hint="eastAsia"/>
          <w:color w:val="auto"/>
        </w:rPr>
        <w:t>第</w:t>
      </w:r>
      <w:r>
        <w:rPr>
          <w:rFonts w:hint="eastAsia"/>
          <w:color w:val="auto"/>
          <w:lang w:eastAsia="zh-CN"/>
        </w:rPr>
        <w:t>四</w:t>
      </w:r>
      <w:r>
        <w:rPr>
          <w:rFonts w:hint="eastAsia"/>
          <w:color w:val="auto"/>
        </w:rPr>
        <w:t>部分</w:t>
      </w:r>
      <w:bookmarkEnd w:id="119"/>
    </w:p>
    <w:p>
      <w:pPr>
        <w:pStyle w:val="19"/>
        <w:rPr>
          <w:color w:val="auto"/>
        </w:rPr>
      </w:pPr>
      <w:bookmarkStart w:id="122" w:name="_Toc42087607"/>
      <w:r>
        <w:rPr>
          <w:rFonts w:hint="eastAsia"/>
          <w:color w:val="auto"/>
        </w:rPr>
        <w:t>评价性检测抽检</w:t>
      </w:r>
      <w:bookmarkEnd w:id="122"/>
    </w:p>
    <w:p>
      <w:pPr>
        <w:rPr>
          <w:color w:val="auto"/>
        </w:rPr>
      </w:pPr>
    </w:p>
    <w:p>
      <w:pPr>
        <w:pStyle w:val="4"/>
        <w:spacing w:before="360"/>
        <w:ind w:firstLine="643" w:firstLineChars="200"/>
        <w:rPr>
          <w:color w:val="auto"/>
        </w:rPr>
      </w:pPr>
      <w:bookmarkStart w:id="123" w:name="_Toc42087608"/>
      <w:r>
        <w:rPr>
          <w:rFonts w:hint="eastAsia"/>
          <w:color w:val="auto"/>
        </w:rPr>
        <w:t>一、总体情况</w:t>
      </w:r>
      <w:bookmarkEnd w:id="123"/>
    </w:p>
    <w:p>
      <w:pPr>
        <w:pStyle w:val="25"/>
        <w:spacing w:line="540" w:lineRule="exact"/>
        <w:ind w:firstLine="640"/>
        <w:rPr>
          <w:color w:val="auto"/>
        </w:rPr>
      </w:pPr>
      <w:r>
        <w:rPr>
          <w:rFonts w:hint="eastAsia"/>
          <w:color w:val="auto"/>
        </w:rPr>
        <w:t>为真实反映深圳市食品安全水平，客观评估创建食品安全示范城市成效，保障广大市民的饮食安全，2019年深圳市市场监督管理局对全市生产、流通、餐饮环节中的粮食加工品、食用油、油脂及其制品、调味品、肉制品、乳制品、饮料、饼干、罐头、冷冻饮品、速冻食品、薯类和膨化食品、糖果制品、茶叶及相关制品、酒类、蔬菜制品、水果制品、炒货食品及坚果制品、食糖、水产制品、淀粉及淀粉制品、糕点、豆制品、蜂产品、保健食品、特殊膳食食品、特殊医学用途配方食品、婴幼儿配方食品、餐饮食品、食用农产品及食盐共30大类食品进行评价性专项检测抽检。本年度共实际开展了</w:t>
      </w:r>
      <w:r>
        <w:rPr>
          <w:color w:val="auto"/>
        </w:rPr>
        <w:t>12项评价性检测抽检专项任务，全年</w:t>
      </w:r>
      <w:r>
        <w:rPr>
          <w:rFonts w:hint="eastAsia"/>
          <w:color w:val="auto"/>
        </w:rPr>
        <w:t>共组织</w:t>
      </w:r>
      <w:r>
        <w:rPr>
          <w:color w:val="auto"/>
        </w:rPr>
        <w:t>抽检3999家/户食品生产经营单位的食品12500批次，</w:t>
      </w:r>
      <w:r>
        <w:rPr>
          <w:rFonts w:hint="eastAsia"/>
          <w:color w:val="auto"/>
        </w:rPr>
        <w:t>检出合格样品12322批次，不合格样品</w:t>
      </w:r>
      <w:r>
        <w:rPr>
          <w:color w:val="auto"/>
        </w:rPr>
        <w:t>178批次，</w:t>
      </w:r>
      <w:r>
        <w:rPr>
          <w:rFonts w:hint="eastAsia"/>
          <w:color w:val="auto"/>
        </w:rPr>
        <w:t>检出不合格项目</w:t>
      </w:r>
      <w:r>
        <w:rPr>
          <w:color w:val="auto"/>
        </w:rPr>
        <w:t>1</w:t>
      </w:r>
      <w:r>
        <w:rPr>
          <w:rFonts w:hint="eastAsia"/>
          <w:color w:val="auto"/>
        </w:rPr>
        <w:t>82项</w:t>
      </w:r>
      <w:r>
        <w:rPr>
          <w:color w:val="auto"/>
        </w:rPr>
        <w:t>次，</w:t>
      </w:r>
      <w:r>
        <w:rPr>
          <w:rFonts w:hint="eastAsia"/>
          <w:color w:val="auto"/>
        </w:rPr>
        <w:t>全年评价性总体抽检合格率为98.6%</w:t>
      </w:r>
      <w:r>
        <w:rPr>
          <w:color w:val="auto"/>
        </w:rPr>
        <w:t>。</w:t>
      </w:r>
      <w:r>
        <w:rPr>
          <w:rFonts w:hint="eastAsia"/>
          <w:color w:val="auto"/>
        </w:rPr>
        <w:t>其中生产环节共抽检20家</w:t>
      </w:r>
      <w:r>
        <w:rPr>
          <w:color w:val="auto"/>
        </w:rPr>
        <w:t>/户食品生产</w:t>
      </w:r>
      <w:r>
        <w:rPr>
          <w:rFonts w:hint="eastAsia"/>
          <w:color w:val="auto"/>
        </w:rPr>
        <w:t>单位的食品20批次，抽检合格率为100.0%；流通环节共抽检2246家</w:t>
      </w:r>
      <w:r>
        <w:rPr>
          <w:color w:val="auto"/>
        </w:rPr>
        <w:t>/户食品</w:t>
      </w:r>
      <w:r>
        <w:rPr>
          <w:rFonts w:hint="eastAsia"/>
          <w:color w:val="auto"/>
        </w:rPr>
        <w:t>经营单位的食品9919批次，抽检合格率为98.7%（9788/9919）；餐饮环节共抽检1733家</w:t>
      </w:r>
      <w:r>
        <w:rPr>
          <w:color w:val="auto"/>
        </w:rPr>
        <w:t>/户食品</w:t>
      </w:r>
      <w:r>
        <w:rPr>
          <w:rFonts w:hint="eastAsia"/>
          <w:color w:val="auto"/>
        </w:rPr>
        <w:t>经营单位的食品2561批次，抽检合格率为98.2%（2514/2561）。</w:t>
      </w:r>
    </w:p>
    <w:p>
      <w:pPr>
        <w:pStyle w:val="25"/>
        <w:spacing w:line="540" w:lineRule="exact"/>
        <w:ind w:firstLine="640"/>
        <w:rPr>
          <w:color w:val="auto"/>
        </w:rPr>
      </w:pPr>
      <w:r>
        <w:rPr>
          <w:rFonts w:hint="eastAsia"/>
          <w:color w:val="auto"/>
        </w:rPr>
        <w:t>我市各领域食品总体处于安全、可控状态（见表</w:t>
      </w:r>
      <w:r>
        <w:rPr>
          <w:rFonts w:hint="eastAsia"/>
          <w:color w:val="auto"/>
          <w:lang w:val="en-US" w:eastAsia="zh-CN"/>
        </w:rPr>
        <w:t>4</w:t>
      </w:r>
      <w:r>
        <w:rPr>
          <w:color w:val="auto"/>
        </w:rPr>
        <w:t>-</w:t>
      </w:r>
      <w:r>
        <w:rPr>
          <w:rFonts w:hint="eastAsia"/>
          <w:color w:val="auto"/>
        </w:rPr>
        <w:t>1</w:t>
      </w:r>
      <w:r>
        <w:rPr>
          <w:color w:val="auto"/>
        </w:rPr>
        <w:t>、图</w:t>
      </w:r>
      <w:r>
        <w:rPr>
          <w:rFonts w:hint="eastAsia"/>
          <w:color w:val="auto"/>
          <w:lang w:val="en-US" w:eastAsia="zh-CN"/>
        </w:rPr>
        <w:t>4</w:t>
      </w:r>
      <w:r>
        <w:rPr>
          <w:color w:val="auto"/>
        </w:rPr>
        <w:t>-1）。</w:t>
      </w:r>
    </w:p>
    <w:p>
      <w:pPr>
        <w:pStyle w:val="28"/>
        <w:spacing w:after="120"/>
        <w:rPr>
          <w:rFonts w:hint="eastAsia"/>
          <w:color w:val="auto"/>
        </w:rPr>
      </w:pPr>
    </w:p>
    <w:p>
      <w:pPr>
        <w:pStyle w:val="28"/>
        <w:spacing w:after="120"/>
        <w:rPr>
          <w:rFonts w:cs="楷体"/>
          <w:b/>
          <w:bCs w:val="0"/>
          <w:color w:val="auto"/>
          <w:kern w:val="0"/>
          <w:szCs w:val="30"/>
        </w:rPr>
      </w:pPr>
      <w:r>
        <w:rPr>
          <w:rFonts w:hint="eastAsia"/>
          <w:color w:val="auto"/>
        </w:rPr>
        <w:t>表</w:t>
      </w:r>
      <w:r>
        <w:rPr>
          <w:rFonts w:hint="eastAsia"/>
          <w:color w:val="auto"/>
          <w:lang w:val="en-US" w:eastAsia="zh-CN"/>
        </w:rPr>
        <w:t>4</w:t>
      </w:r>
      <w:r>
        <w:rPr>
          <w:color w:val="auto"/>
        </w:rPr>
        <w:t>-</w:t>
      </w:r>
      <w:r>
        <w:rPr>
          <w:rFonts w:hint="eastAsia"/>
          <w:color w:val="auto"/>
        </w:rPr>
        <w:t>1  2019年评价性检测抽检项目抽样检验情况表</w:t>
      </w:r>
    </w:p>
    <w:tbl>
      <w:tblPr>
        <w:tblStyle w:val="20"/>
        <w:tblW w:w="88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1474"/>
        <w:gridCol w:w="1474"/>
        <w:gridCol w:w="1474"/>
        <w:gridCol w:w="1474"/>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8" w:hRule="atLeast"/>
          <w:jc w:val="center"/>
        </w:trPr>
        <w:tc>
          <w:tcPr>
            <w:tcW w:w="1474" w:type="dxa"/>
            <w:tcBorders>
              <w:top w:val="single" w:color="FFFFFF" w:sz="8" w:space="0"/>
              <w:left w:val="single" w:color="FFFFFF" w:sz="8" w:space="0"/>
              <w:bottom w:val="single" w:color="FFFFFF" w:sz="18" w:space="0"/>
              <w:right w:val="single" w:color="FFFFFF" w:sz="8" w:space="0"/>
            </w:tcBorders>
            <w:shd w:val="clear" w:color="auto" w:fill="4F81BD"/>
            <w:vAlign w:val="center"/>
          </w:tcPr>
          <w:p>
            <w:pPr>
              <w:pStyle w:val="29"/>
              <w:rPr>
                <w:color w:val="auto"/>
              </w:rPr>
            </w:pPr>
            <w:r>
              <w:rPr>
                <w:color w:val="auto"/>
              </w:rPr>
              <w:t>环节</w:t>
            </w:r>
          </w:p>
        </w:tc>
        <w:tc>
          <w:tcPr>
            <w:tcW w:w="1474" w:type="dxa"/>
            <w:tcBorders>
              <w:top w:val="single" w:color="FFFFFF" w:sz="8" w:space="0"/>
              <w:left w:val="single" w:color="FFFFFF" w:sz="8" w:space="0"/>
              <w:bottom w:val="single" w:color="FFFFFF" w:sz="18" w:space="0"/>
              <w:right w:val="single" w:color="FFFFFF" w:sz="8" w:space="0"/>
            </w:tcBorders>
            <w:shd w:val="clear" w:color="auto" w:fill="4F81BD"/>
            <w:vAlign w:val="center"/>
          </w:tcPr>
          <w:p>
            <w:pPr>
              <w:pStyle w:val="29"/>
              <w:rPr>
                <w:color w:val="auto"/>
              </w:rPr>
            </w:pPr>
            <w:r>
              <w:rPr>
                <w:color w:val="auto"/>
              </w:rPr>
              <w:t>抽检</w:t>
            </w:r>
          </w:p>
          <w:p>
            <w:pPr>
              <w:pStyle w:val="29"/>
              <w:rPr>
                <w:color w:val="auto"/>
              </w:rPr>
            </w:pPr>
            <w:r>
              <w:rPr>
                <w:color w:val="auto"/>
              </w:rPr>
              <w:t>家户数</w:t>
            </w:r>
          </w:p>
        </w:tc>
        <w:tc>
          <w:tcPr>
            <w:tcW w:w="1474" w:type="dxa"/>
            <w:tcBorders>
              <w:top w:val="single" w:color="FFFFFF" w:sz="8" w:space="0"/>
              <w:left w:val="single" w:color="FFFFFF" w:sz="8" w:space="0"/>
              <w:bottom w:val="single" w:color="FFFFFF" w:sz="18" w:space="0"/>
              <w:right w:val="single" w:color="FFFFFF" w:sz="8" w:space="0"/>
            </w:tcBorders>
            <w:shd w:val="clear" w:color="auto" w:fill="4F81BD"/>
            <w:vAlign w:val="center"/>
          </w:tcPr>
          <w:p>
            <w:pPr>
              <w:pStyle w:val="29"/>
              <w:rPr>
                <w:color w:val="auto"/>
              </w:rPr>
            </w:pPr>
            <w:r>
              <w:rPr>
                <w:color w:val="auto"/>
              </w:rPr>
              <w:t>抽检</w:t>
            </w:r>
          </w:p>
          <w:p>
            <w:pPr>
              <w:pStyle w:val="29"/>
              <w:rPr>
                <w:color w:val="auto"/>
              </w:rPr>
            </w:pPr>
            <w:r>
              <w:rPr>
                <w:color w:val="auto"/>
              </w:rPr>
              <w:t>批次</w:t>
            </w:r>
            <w:r>
              <w:rPr>
                <w:rFonts w:hint="eastAsia"/>
                <w:color w:val="auto"/>
              </w:rPr>
              <w:t>数</w:t>
            </w:r>
          </w:p>
        </w:tc>
        <w:tc>
          <w:tcPr>
            <w:tcW w:w="1474" w:type="dxa"/>
            <w:tcBorders>
              <w:top w:val="single" w:color="FFFFFF" w:sz="8" w:space="0"/>
              <w:left w:val="single" w:color="FFFFFF" w:sz="8" w:space="0"/>
              <w:bottom w:val="single" w:color="FFFFFF" w:sz="18" w:space="0"/>
              <w:right w:val="single" w:color="FFFFFF" w:sz="8" w:space="0"/>
            </w:tcBorders>
            <w:shd w:val="clear" w:color="auto" w:fill="4F81BD"/>
            <w:vAlign w:val="center"/>
          </w:tcPr>
          <w:p>
            <w:pPr>
              <w:pStyle w:val="29"/>
              <w:rPr>
                <w:color w:val="auto"/>
              </w:rPr>
            </w:pPr>
            <w:r>
              <w:rPr>
                <w:rFonts w:hint="eastAsia"/>
                <w:color w:val="auto"/>
              </w:rPr>
              <w:t>抽检</w:t>
            </w:r>
          </w:p>
          <w:p>
            <w:pPr>
              <w:pStyle w:val="29"/>
              <w:rPr>
                <w:color w:val="auto"/>
              </w:rPr>
            </w:pPr>
            <w:r>
              <w:rPr>
                <w:rFonts w:hint="eastAsia"/>
                <w:color w:val="auto"/>
              </w:rPr>
              <w:t>项次数</w:t>
            </w:r>
          </w:p>
        </w:tc>
        <w:tc>
          <w:tcPr>
            <w:tcW w:w="1474" w:type="dxa"/>
            <w:tcBorders>
              <w:top w:val="single" w:color="FFFFFF" w:sz="8" w:space="0"/>
              <w:left w:val="single" w:color="FFFFFF" w:sz="8" w:space="0"/>
              <w:bottom w:val="single" w:color="FFFFFF" w:sz="18" w:space="0"/>
              <w:right w:val="single" w:color="FFFFFF" w:sz="8" w:space="0"/>
            </w:tcBorders>
            <w:shd w:val="clear" w:color="auto" w:fill="4F81BD"/>
            <w:vAlign w:val="center"/>
          </w:tcPr>
          <w:p>
            <w:pPr>
              <w:pStyle w:val="29"/>
              <w:rPr>
                <w:color w:val="auto"/>
              </w:rPr>
            </w:pPr>
            <w:r>
              <w:rPr>
                <w:rFonts w:hint="eastAsia"/>
                <w:color w:val="auto"/>
              </w:rPr>
              <w:t>合格样品</w:t>
            </w:r>
          </w:p>
          <w:p>
            <w:pPr>
              <w:pStyle w:val="29"/>
              <w:rPr>
                <w:color w:val="auto"/>
              </w:rPr>
            </w:pPr>
            <w:r>
              <w:rPr>
                <w:color w:val="auto"/>
              </w:rPr>
              <w:t>批次</w:t>
            </w:r>
            <w:r>
              <w:rPr>
                <w:rFonts w:hint="eastAsia"/>
                <w:color w:val="auto"/>
              </w:rPr>
              <w:t>数</w:t>
            </w:r>
          </w:p>
        </w:tc>
        <w:tc>
          <w:tcPr>
            <w:tcW w:w="1474" w:type="dxa"/>
            <w:tcBorders>
              <w:top w:val="single" w:color="FFFFFF" w:sz="8" w:space="0"/>
              <w:left w:val="single" w:color="FFFFFF" w:sz="8" w:space="0"/>
              <w:bottom w:val="single" w:color="FFFFFF" w:sz="18" w:space="0"/>
              <w:right w:val="single" w:color="FFFFFF" w:sz="8" w:space="0"/>
            </w:tcBorders>
            <w:shd w:val="clear" w:color="auto" w:fill="4F81BD"/>
            <w:vAlign w:val="center"/>
          </w:tcPr>
          <w:p>
            <w:pPr>
              <w:pStyle w:val="29"/>
              <w:rPr>
                <w:color w:val="auto"/>
              </w:rPr>
            </w:pPr>
            <w:r>
              <w:rPr>
                <w:rFonts w:hint="eastAsia"/>
                <w:color w:val="auto"/>
              </w:rPr>
              <w:t>合格率/%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8" w:hRule="atLeast"/>
          <w:jc w:val="center"/>
        </w:trPr>
        <w:tc>
          <w:tcPr>
            <w:tcW w:w="1474" w:type="dxa"/>
            <w:tcBorders>
              <w:top w:val="single" w:color="FFFFFF" w:sz="18" w:space="0"/>
              <w:left w:val="single" w:color="FFFFFF" w:sz="8" w:space="0"/>
              <w:bottom w:val="single" w:color="FFFFFF" w:sz="8" w:space="0"/>
              <w:right w:val="single" w:color="FFFFFF" w:sz="8" w:space="0"/>
            </w:tcBorders>
            <w:shd w:val="clear" w:color="auto" w:fill="D0D8E8"/>
            <w:vAlign w:val="center"/>
          </w:tcPr>
          <w:p>
            <w:pPr>
              <w:pStyle w:val="30"/>
              <w:rPr>
                <w:color w:val="auto"/>
              </w:rPr>
            </w:pPr>
            <w:r>
              <w:rPr>
                <w:color w:val="auto"/>
              </w:rPr>
              <w:t>生产</w:t>
            </w:r>
          </w:p>
        </w:tc>
        <w:tc>
          <w:tcPr>
            <w:tcW w:w="1474" w:type="dxa"/>
            <w:tcBorders>
              <w:top w:val="single" w:color="FFFFFF" w:sz="18" w:space="0"/>
              <w:left w:val="single" w:color="FFFFFF" w:sz="8" w:space="0"/>
              <w:bottom w:val="single" w:color="FFFFFF" w:sz="8" w:space="0"/>
              <w:right w:val="single" w:color="FFFFFF" w:sz="8" w:space="0"/>
            </w:tcBorders>
            <w:shd w:val="clear" w:color="auto" w:fill="D0D8E8"/>
            <w:vAlign w:val="center"/>
          </w:tcPr>
          <w:p>
            <w:pPr>
              <w:pStyle w:val="30"/>
              <w:rPr>
                <w:color w:val="auto"/>
              </w:rPr>
            </w:pPr>
            <w:r>
              <w:rPr>
                <w:color w:val="auto"/>
              </w:rPr>
              <w:t>20</w:t>
            </w:r>
          </w:p>
        </w:tc>
        <w:tc>
          <w:tcPr>
            <w:tcW w:w="1474" w:type="dxa"/>
            <w:tcBorders>
              <w:top w:val="single" w:color="FFFFFF" w:sz="1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20</w:t>
            </w:r>
          </w:p>
        </w:tc>
        <w:tc>
          <w:tcPr>
            <w:tcW w:w="1474" w:type="dxa"/>
            <w:tcBorders>
              <w:top w:val="single" w:color="FFFFFF" w:sz="1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233</w:t>
            </w:r>
          </w:p>
        </w:tc>
        <w:tc>
          <w:tcPr>
            <w:tcW w:w="1474" w:type="dxa"/>
            <w:tcBorders>
              <w:top w:val="single" w:color="FFFFFF" w:sz="18" w:space="0"/>
              <w:left w:val="single" w:color="FFFFFF" w:sz="8" w:space="0"/>
              <w:bottom w:val="single" w:color="FFFFFF" w:sz="8" w:space="0"/>
              <w:right w:val="single" w:color="FFFFFF" w:sz="8" w:space="0"/>
            </w:tcBorders>
            <w:shd w:val="clear" w:color="auto" w:fill="D0D8E8"/>
            <w:vAlign w:val="center"/>
          </w:tcPr>
          <w:p>
            <w:pPr>
              <w:pStyle w:val="30"/>
              <w:rPr>
                <w:color w:val="auto"/>
              </w:rPr>
            </w:pPr>
            <w:r>
              <w:rPr>
                <w:color w:val="auto"/>
              </w:rPr>
              <w:t>20</w:t>
            </w:r>
          </w:p>
        </w:tc>
        <w:tc>
          <w:tcPr>
            <w:tcW w:w="1474" w:type="dxa"/>
            <w:tcBorders>
              <w:top w:val="single" w:color="FFFFFF" w:sz="18" w:space="0"/>
              <w:left w:val="single" w:color="FFFFFF" w:sz="8" w:space="0"/>
              <w:bottom w:val="single" w:color="FFFFFF" w:sz="8" w:space="0"/>
              <w:right w:val="single" w:color="FFFFFF" w:sz="8" w:space="0"/>
            </w:tcBorders>
            <w:shd w:val="clear" w:color="auto" w:fill="D0D8E8"/>
            <w:vAlign w:val="center"/>
          </w:tcPr>
          <w:p>
            <w:pPr>
              <w:pStyle w:val="30"/>
              <w:rPr>
                <w:color w:val="auto"/>
              </w:rPr>
            </w:pPr>
            <w:r>
              <w:rPr>
                <w:color w:val="auto"/>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8" w:hRule="atLeast"/>
          <w:jc w:val="center"/>
        </w:trPr>
        <w:tc>
          <w:tcPr>
            <w:tcW w:w="1474"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color w:val="auto"/>
              </w:rPr>
              <w:t>流通</w:t>
            </w:r>
          </w:p>
        </w:tc>
        <w:tc>
          <w:tcPr>
            <w:tcW w:w="1474"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color w:val="auto"/>
              </w:rPr>
              <w:t>2246</w:t>
            </w:r>
          </w:p>
        </w:tc>
        <w:tc>
          <w:tcPr>
            <w:tcW w:w="1474"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9919</w:t>
            </w:r>
          </w:p>
        </w:tc>
        <w:tc>
          <w:tcPr>
            <w:tcW w:w="1474"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76947</w:t>
            </w:r>
          </w:p>
        </w:tc>
        <w:tc>
          <w:tcPr>
            <w:tcW w:w="1474"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color w:val="auto"/>
              </w:rPr>
              <w:t>9788</w:t>
            </w:r>
          </w:p>
        </w:tc>
        <w:tc>
          <w:tcPr>
            <w:tcW w:w="1474"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color w:val="auto"/>
              </w:rPr>
              <w:t>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8" w:hRule="atLeast"/>
          <w:jc w:val="center"/>
        </w:trPr>
        <w:tc>
          <w:tcPr>
            <w:tcW w:w="1474"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color w:val="auto"/>
              </w:rPr>
              <w:t>餐饮</w:t>
            </w:r>
          </w:p>
        </w:tc>
        <w:tc>
          <w:tcPr>
            <w:tcW w:w="1474"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color w:val="auto"/>
              </w:rPr>
              <w:t>1733</w:t>
            </w:r>
          </w:p>
        </w:tc>
        <w:tc>
          <w:tcPr>
            <w:tcW w:w="1474"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2561</w:t>
            </w:r>
          </w:p>
        </w:tc>
        <w:tc>
          <w:tcPr>
            <w:tcW w:w="1474"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10996</w:t>
            </w:r>
          </w:p>
        </w:tc>
        <w:tc>
          <w:tcPr>
            <w:tcW w:w="1474"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color w:val="auto"/>
              </w:rPr>
              <w:t>2514</w:t>
            </w:r>
          </w:p>
        </w:tc>
        <w:tc>
          <w:tcPr>
            <w:tcW w:w="1474"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color w:val="auto"/>
              </w:rPr>
              <w:t>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8" w:hRule="atLeast"/>
          <w:jc w:val="center"/>
        </w:trPr>
        <w:tc>
          <w:tcPr>
            <w:tcW w:w="1474"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合计</w:t>
            </w:r>
          </w:p>
        </w:tc>
        <w:tc>
          <w:tcPr>
            <w:tcW w:w="1474"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color w:val="auto"/>
              </w:rPr>
              <w:t>3</w:t>
            </w:r>
            <w:r>
              <w:rPr>
                <w:rFonts w:hint="eastAsia"/>
                <w:color w:val="auto"/>
              </w:rPr>
              <w:t>999</w:t>
            </w:r>
          </w:p>
        </w:tc>
        <w:tc>
          <w:tcPr>
            <w:tcW w:w="1474"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color w:val="auto"/>
              </w:rPr>
              <w:t>12</w:t>
            </w:r>
            <w:r>
              <w:rPr>
                <w:rFonts w:hint="eastAsia"/>
                <w:color w:val="auto"/>
              </w:rPr>
              <w:t>500</w:t>
            </w:r>
          </w:p>
        </w:tc>
        <w:tc>
          <w:tcPr>
            <w:tcW w:w="1474"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88176</w:t>
            </w:r>
          </w:p>
        </w:tc>
        <w:tc>
          <w:tcPr>
            <w:tcW w:w="1474"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color w:val="auto"/>
              </w:rPr>
              <w:t>12322</w:t>
            </w:r>
          </w:p>
        </w:tc>
        <w:tc>
          <w:tcPr>
            <w:tcW w:w="1474"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color w:val="auto"/>
              </w:rPr>
              <w:t>98.6</w:t>
            </w:r>
          </w:p>
        </w:tc>
      </w:tr>
    </w:tbl>
    <w:p>
      <w:pPr>
        <w:pStyle w:val="25"/>
        <w:ind w:firstLine="640"/>
        <w:rPr>
          <w:color w:val="auto"/>
        </w:rPr>
      </w:pPr>
    </w:p>
    <w:p>
      <w:pPr>
        <w:spacing w:before="120" w:beforeLines="50"/>
        <w:jc w:val="center"/>
        <w:rPr>
          <w:rFonts w:eastAsia="仿宋"/>
          <w:color w:val="auto"/>
          <w:sz w:val="32"/>
          <w:szCs w:val="32"/>
        </w:rPr>
      </w:pPr>
      <w:r>
        <w:rPr>
          <w:color w:val="auto"/>
        </w:rPr>
        <w:drawing>
          <wp:inline distT="0" distB="0" distL="114300" distR="114300">
            <wp:extent cx="5685155" cy="3808095"/>
            <wp:effectExtent l="0" t="0" r="10795" b="190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pic:cNvPicPr>
                  </pic:nvPicPr>
                  <pic:blipFill>
                    <a:blip r:embed="rId18"/>
                    <a:stretch>
                      <a:fillRect/>
                    </a:stretch>
                  </pic:blipFill>
                  <pic:spPr>
                    <a:xfrm>
                      <a:off x="0" y="0"/>
                      <a:ext cx="5685155" cy="3808095"/>
                    </a:xfrm>
                    <a:prstGeom prst="rect">
                      <a:avLst/>
                    </a:prstGeom>
                    <a:noFill/>
                    <a:ln>
                      <a:noFill/>
                    </a:ln>
                  </pic:spPr>
                </pic:pic>
              </a:graphicData>
            </a:graphic>
          </wp:inline>
        </w:drawing>
      </w:r>
    </w:p>
    <w:p>
      <w:pPr>
        <w:pStyle w:val="28"/>
        <w:spacing w:after="120"/>
        <w:rPr>
          <w:rFonts w:eastAsia="仿宋"/>
          <w:b/>
          <w:bCs w:val="0"/>
          <w:color w:val="auto"/>
          <w:szCs w:val="24"/>
        </w:rPr>
      </w:pPr>
      <w:r>
        <w:rPr>
          <w:rFonts w:hint="eastAsia"/>
          <w:color w:val="auto"/>
        </w:rPr>
        <w:t>图</w:t>
      </w:r>
      <w:r>
        <w:rPr>
          <w:rFonts w:hint="eastAsia"/>
          <w:color w:val="auto"/>
          <w:lang w:val="en-US" w:eastAsia="zh-CN"/>
        </w:rPr>
        <w:t>4</w:t>
      </w:r>
      <w:r>
        <w:rPr>
          <w:color w:val="auto"/>
        </w:rPr>
        <w:t>-</w:t>
      </w:r>
      <w:r>
        <w:rPr>
          <w:rFonts w:hint="eastAsia"/>
          <w:color w:val="auto"/>
        </w:rPr>
        <w:t>1  各环节食品抽检样品合格率对比图</w:t>
      </w:r>
    </w:p>
    <w:p>
      <w:pPr>
        <w:pStyle w:val="4"/>
        <w:spacing w:before="360"/>
        <w:ind w:firstLine="643" w:firstLineChars="200"/>
        <w:rPr>
          <w:color w:val="auto"/>
        </w:rPr>
      </w:pPr>
      <w:bookmarkStart w:id="124" w:name="_Toc42087609"/>
      <w:r>
        <w:rPr>
          <w:rFonts w:hint="eastAsia"/>
          <w:color w:val="auto"/>
        </w:rPr>
        <w:t>二、各专项任务抽检结果情况</w:t>
      </w:r>
      <w:bookmarkEnd w:id="124"/>
    </w:p>
    <w:p>
      <w:pPr>
        <w:pStyle w:val="25"/>
        <w:ind w:firstLine="640"/>
        <w:rPr>
          <w:color w:val="auto"/>
        </w:rPr>
      </w:pPr>
      <w:r>
        <w:rPr>
          <w:rFonts w:hint="eastAsia"/>
          <w:color w:val="auto"/>
        </w:rPr>
        <w:t>在任务工作实际开展过程中，我市共开展了</w:t>
      </w:r>
      <w:r>
        <w:rPr>
          <w:color w:val="auto"/>
        </w:rPr>
        <w:t>1</w:t>
      </w:r>
      <w:r>
        <w:rPr>
          <w:rFonts w:hint="eastAsia"/>
          <w:color w:val="auto"/>
        </w:rPr>
        <w:t>2项</w:t>
      </w:r>
      <w:r>
        <w:rPr>
          <w:color w:val="auto"/>
        </w:rPr>
        <w:t>评价性检测抽检专项任务，分别为常规评价性抽检城中村子专项抽检、常规评价性抽检大型商圈子专项抽检、</w:t>
      </w:r>
      <w:r>
        <w:rPr>
          <w:rFonts w:hint="eastAsia"/>
          <w:color w:val="auto"/>
        </w:rPr>
        <w:t>第四季度常规评价性专项抽检、</w:t>
      </w:r>
      <w:r>
        <w:rPr>
          <w:color w:val="auto"/>
        </w:rPr>
        <w:t>节假日评价性抽检元旦春节子专项抽检、节假日评价性抽检端午子专项抽检、节假日评价性抽检中秋国庆子专项抽检</w:t>
      </w:r>
      <w:r>
        <w:rPr>
          <w:rFonts w:hint="eastAsia"/>
          <w:color w:val="auto"/>
        </w:rPr>
        <w:t>、</w:t>
      </w:r>
      <w:r>
        <w:rPr>
          <w:color w:val="auto"/>
        </w:rPr>
        <w:t>校园周边评价性专项抽检、餐饮原料评价性专项抽检、网络餐饮外卖评价性专项抽检、食盐评价性专项抽检、速冻调理肉制品动物源性成分鉴定评价性专项抽检和深汕特别合作区评价性专项抽检。</w:t>
      </w:r>
    </w:p>
    <w:p>
      <w:pPr>
        <w:pStyle w:val="25"/>
        <w:ind w:firstLine="640"/>
        <w:rPr>
          <w:color w:val="auto"/>
        </w:rPr>
      </w:pPr>
      <w:r>
        <w:rPr>
          <w:rFonts w:hint="eastAsia"/>
          <w:color w:val="auto"/>
        </w:rPr>
        <w:t>除节假日评价性抽检元旦春节子专项抽检、节假日评价性抽检端午子专项抽检和</w:t>
      </w:r>
      <w:r>
        <w:rPr>
          <w:color w:val="auto"/>
        </w:rPr>
        <w:t>食盐评价性专项抽检</w:t>
      </w:r>
      <w:r>
        <w:rPr>
          <w:rFonts w:hint="eastAsia"/>
          <w:color w:val="auto"/>
        </w:rPr>
        <w:t>3个专项抽检样品合格率均为100.0%外，其余9个专项任务均有不合格样品检出，其中</w:t>
      </w:r>
      <w:r>
        <w:rPr>
          <w:color w:val="auto"/>
        </w:rPr>
        <w:t>速冻调理肉制品动物源性成分鉴定评价性专项抽检</w:t>
      </w:r>
      <w:r>
        <w:rPr>
          <w:rFonts w:hint="eastAsia"/>
          <w:color w:val="auto"/>
        </w:rPr>
        <w:t>检出不合格样品49批次，不合格样品检出批次最多，抽检样品合格率最低，为88.8%（390/439）。具体各专项抽样检验情况见表</w:t>
      </w:r>
      <w:r>
        <w:rPr>
          <w:rFonts w:hint="eastAsia"/>
          <w:color w:val="auto"/>
          <w:lang w:val="en-US" w:eastAsia="zh-CN"/>
        </w:rPr>
        <w:t>4</w:t>
      </w:r>
      <w:r>
        <w:rPr>
          <w:color w:val="auto"/>
        </w:rPr>
        <w:t>-2</w:t>
      </w:r>
      <w:r>
        <w:rPr>
          <w:rFonts w:hint="eastAsia"/>
          <w:color w:val="auto"/>
        </w:rPr>
        <w:t>、图</w:t>
      </w:r>
      <w:r>
        <w:rPr>
          <w:rFonts w:hint="eastAsia"/>
          <w:color w:val="auto"/>
          <w:lang w:val="en-US" w:eastAsia="zh-CN"/>
        </w:rPr>
        <w:t>4</w:t>
      </w:r>
      <w:r>
        <w:rPr>
          <w:color w:val="auto"/>
        </w:rPr>
        <w:t>-2。</w:t>
      </w:r>
    </w:p>
    <w:p>
      <w:pPr>
        <w:rPr>
          <w:color w:val="auto"/>
        </w:rPr>
      </w:pPr>
    </w:p>
    <w:p>
      <w:pPr>
        <w:pStyle w:val="28"/>
        <w:spacing w:after="120"/>
        <w:rPr>
          <w:rFonts w:cs="楷体"/>
          <w:b/>
          <w:bCs w:val="0"/>
          <w:color w:val="auto"/>
          <w:kern w:val="0"/>
          <w:szCs w:val="30"/>
        </w:rPr>
      </w:pPr>
      <w:r>
        <w:rPr>
          <w:rFonts w:hint="eastAsia"/>
          <w:color w:val="auto"/>
        </w:rPr>
        <w:t>表</w:t>
      </w:r>
      <w:r>
        <w:rPr>
          <w:rFonts w:hint="eastAsia"/>
          <w:color w:val="auto"/>
          <w:lang w:val="en-US" w:eastAsia="zh-CN"/>
        </w:rPr>
        <w:t>4</w:t>
      </w:r>
      <w:r>
        <w:rPr>
          <w:rFonts w:hint="eastAsia"/>
          <w:color w:val="auto"/>
        </w:rPr>
        <w:t>-2  2019年评价性检测抽检项目各专项抽样检验情况表</w:t>
      </w:r>
    </w:p>
    <w:tbl>
      <w:tblPr>
        <w:tblStyle w:val="20"/>
        <w:tblW w:w="93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995"/>
        <w:gridCol w:w="1417"/>
        <w:gridCol w:w="1417"/>
        <w:gridCol w:w="1417"/>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tblHeader/>
          <w:jc w:val="center"/>
        </w:trPr>
        <w:tc>
          <w:tcPr>
            <w:tcW w:w="709" w:type="dxa"/>
            <w:tcBorders>
              <w:top w:val="single" w:color="FFFFFF" w:sz="8" w:space="0"/>
              <w:left w:val="single" w:color="FFFFFF" w:sz="8" w:space="0"/>
              <w:bottom w:val="single" w:color="FFFFFF" w:sz="18" w:space="0"/>
              <w:right w:val="single" w:color="FFFFFF" w:sz="8" w:space="0"/>
            </w:tcBorders>
            <w:shd w:val="clear" w:color="auto" w:fill="4F81BD"/>
            <w:vAlign w:val="center"/>
          </w:tcPr>
          <w:p>
            <w:pPr>
              <w:pStyle w:val="29"/>
              <w:rPr>
                <w:color w:val="auto"/>
              </w:rPr>
            </w:pPr>
            <w:r>
              <w:rPr>
                <w:rFonts w:hint="eastAsia"/>
                <w:color w:val="auto"/>
              </w:rPr>
              <w:t>序号</w:t>
            </w:r>
          </w:p>
        </w:tc>
        <w:tc>
          <w:tcPr>
            <w:tcW w:w="2995" w:type="dxa"/>
            <w:tcBorders>
              <w:top w:val="single" w:color="FFFFFF" w:sz="8" w:space="0"/>
              <w:left w:val="single" w:color="FFFFFF" w:sz="8" w:space="0"/>
              <w:bottom w:val="single" w:color="FFFFFF" w:sz="18" w:space="0"/>
              <w:right w:val="single" w:color="FFFFFF" w:sz="8" w:space="0"/>
            </w:tcBorders>
            <w:shd w:val="clear" w:color="auto" w:fill="4F81BD"/>
            <w:vAlign w:val="center"/>
          </w:tcPr>
          <w:p>
            <w:pPr>
              <w:pStyle w:val="29"/>
              <w:rPr>
                <w:color w:val="auto"/>
              </w:rPr>
            </w:pPr>
            <w:r>
              <w:rPr>
                <w:color w:val="auto"/>
              </w:rPr>
              <w:t>专项类型</w:t>
            </w:r>
          </w:p>
        </w:tc>
        <w:tc>
          <w:tcPr>
            <w:tcW w:w="1417" w:type="dxa"/>
            <w:tcBorders>
              <w:top w:val="single" w:color="FFFFFF" w:sz="8" w:space="0"/>
              <w:left w:val="single" w:color="FFFFFF" w:sz="8" w:space="0"/>
              <w:bottom w:val="single" w:color="FFFFFF" w:sz="18" w:space="0"/>
              <w:right w:val="single" w:color="FFFFFF" w:sz="8" w:space="0"/>
            </w:tcBorders>
            <w:shd w:val="clear" w:color="auto" w:fill="4F81BD"/>
            <w:vAlign w:val="center"/>
          </w:tcPr>
          <w:p>
            <w:pPr>
              <w:pStyle w:val="29"/>
              <w:rPr>
                <w:color w:val="auto"/>
              </w:rPr>
            </w:pPr>
            <w:r>
              <w:rPr>
                <w:color w:val="auto"/>
              </w:rPr>
              <w:t>抽检</w:t>
            </w:r>
          </w:p>
          <w:p>
            <w:pPr>
              <w:pStyle w:val="29"/>
              <w:rPr>
                <w:color w:val="auto"/>
              </w:rPr>
            </w:pPr>
            <w:r>
              <w:rPr>
                <w:color w:val="auto"/>
              </w:rPr>
              <w:t>家户数</w:t>
            </w:r>
          </w:p>
        </w:tc>
        <w:tc>
          <w:tcPr>
            <w:tcW w:w="1417" w:type="dxa"/>
            <w:tcBorders>
              <w:top w:val="single" w:color="FFFFFF" w:sz="8" w:space="0"/>
              <w:left w:val="single" w:color="FFFFFF" w:sz="8" w:space="0"/>
              <w:bottom w:val="single" w:color="FFFFFF" w:sz="18" w:space="0"/>
              <w:right w:val="single" w:color="FFFFFF" w:sz="8" w:space="0"/>
            </w:tcBorders>
            <w:shd w:val="clear" w:color="auto" w:fill="4F81BD"/>
            <w:vAlign w:val="center"/>
          </w:tcPr>
          <w:p>
            <w:pPr>
              <w:pStyle w:val="29"/>
              <w:rPr>
                <w:color w:val="auto"/>
              </w:rPr>
            </w:pPr>
            <w:r>
              <w:rPr>
                <w:color w:val="auto"/>
              </w:rPr>
              <w:t>抽检</w:t>
            </w:r>
          </w:p>
          <w:p>
            <w:pPr>
              <w:pStyle w:val="29"/>
              <w:rPr>
                <w:color w:val="auto"/>
              </w:rPr>
            </w:pPr>
            <w:r>
              <w:rPr>
                <w:color w:val="auto"/>
              </w:rPr>
              <w:t>批次</w:t>
            </w:r>
            <w:r>
              <w:rPr>
                <w:rFonts w:hint="eastAsia"/>
                <w:color w:val="auto"/>
              </w:rPr>
              <w:t>数</w:t>
            </w:r>
          </w:p>
        </w:tc>
        <w:tc>
          <w:tcPr>
            <w:tcW w:w="1417" w:type="dxa"/>
            <w:tcBorders>
              <w:top w:val="single" w:color="FFFFFF" w:sz="8" w:space="0"/>
              <w:left w:val="single" w:color="FFFFFF" w:sz="8" w:space="0"/>
              <w:bottom w:val="single" w:color="FFFFFF" w:sz="18" w:space="0"/>
              <w:right w:val="single" w:color="FFFFFF" w:sz="8" w:space="0"/>
            </w:tcBorders>
            <w:shd w:val="clear" w:color="auto" w:fill="4F81BD"/>
            <w:vAlign w:val="center"/>
          </w:tcPr>
          <w:p>
            <w:pPr>
              <w:pStyle w:val="29"/>
              <w:rPr>
                <w:color w:val="auto"/>
              </w:rPr>
            </w:pPr>
            <w:r>
              <w:rPr>
                <w:rFonts w:hint="eastAsia"/>
                <w:color w:val="auto"/>
              </w:rPr>
              <w:t>合格样品</w:t>
            </w:r>
          </w:p>
          <w:p>
            <w:pPr>
              <w:pStyle w:val="29"/>
              <w:rPr>
                <w:color w:val="auto"/>
              </w:rPr>
            </w:pPr>
            <w:r>
              <w:rPr>
                <w:color w:val="auto"/>
              </w:rPr>
              <w:t>批次</w:t>
            </w:r>
            <w:r>
              <w:rPr>
                <w:rFonts w:hint="eastAsia"/>
                <w:color w:val="auto"/>
              </w:rPr>
              <w:t>数</w:t>
            </w:r>
          </w:p>
        </w:tc>
        <w:tc>
          <w:tcPr>
            <w:tcW w:w="1417" w:type="dxa"/>
            <w:tcBorders>
              <w:top w:val="single" w:color="FFFFFF" w:sz="8" w:space="0"/>
              <w:left w:val="single" w:color="FFFFFF" w:sz="8" w:space="0"/>
              <w:bottom w:val="single" w:color="FFFFFF" w:sz="18" w:space="0"/>
              <w:right w:val="single" w:color="FFFFFF" w:sz="8" w:space="0"/>
            </w:tcBorders>
            <w:shd w:val="clear" w:color="auto" w:fill="4F81BD"/>
            <w:vAlign w:val="center"/>
          </w:tcPr>
          <w:p>
            <w:pPr>
              <w:pStyle w:val="29"/>
              <w:rPr>
                <w:color w:val="auto"/>
              </w:rPr>
            </w:pPr>
            <w:r>
              <w:rPr>
                <w:rFonts w:hint="eastAsia"/>
                <w:color w:val="auto"/>
              </w:rPr>
              <w:t>合格率/%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709" w:type="dxa"/>
            <w:tcBorders>
              <w:top w:val="single" w:color="FFFFFF" w:sz="1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1</w:t>
            </w:r>
          </w:p>
        </w:tc>
        <w:tc>
          <w:tcPr>
            <w:tcW w:w="2995" w:type="dxa"/>
            <w:tcBorders>
              <w:top w:val="single" w:color="FFFFFF" w:sz="1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常规评价性抽检城中村</w:t>
            </w:r>
          </w:p>
          <w:p>
            <w:pPr>
              <w:pStyle w:val="30"/>
              <w:rPr>
                <w:color w:val="auto"/>
              </w:rPr>
            </w:pPr>
            <w:r>
              <w:rPr>
                <w:rFonts w:hint="eastAsia"/>
                <w:color w:val="auto"/>
              </w:rPr>
              <w:t>子专项抽检</w:t>
            </w:r>
          </w:p>
        </w:tc>
        <w:tc>
          <w:tcPr>
            <w:tcW w:w="1417" w:type="dxa"/>
            <w:tcBorders>
              <w:top w:val="single" w:color="FFFFFF" w:sz="1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501</w:t>
            </w:r>
          </w:p>
        </w:tc>
        <w:tc>
          <w:tcPr>
            <w:tcW w:w="1417" w:type="dxa"/>
            <w:tcBorders>
              <w:top w:val="single" w:color="FFFFFF" w:sz="1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2336</w:t>
            </w:r>
          </w:p>
        </w:tc>
        <w:tc>
          <w:tcPr>
            <w:tcW w:w="1417" w:type="dxa"/>
            <w:tcBorders>
              <w:top w:val="single" w:color="FFFFFF" w:sz="18" w:space="0"/>
              <w:left w:val="single" w:color="FFFFFF" w:sz="8" w:space="0"/>
              <w:bottom w:val="single" w:color="FFFFFF" w:sz="8" w:space="0"/>
              <w:right w:val="single" w:color="FFFFFF" w:sz="8" w:space="0"/>
            </w:tcBorders>
            <w:shd w:val="clear" w:color="auto" w:fill="D0D8E8"/>
            <w:vAlign w:val="center"/>
          </w:tcPr>
          <w:p>
            <w:pPr>
              <w:pStyle w:val="30"/>
              <w:rPr>
                <w:color w:val="auto"/>
              </w:rPr>
            </w:pPr>
            <w:r>
              <w:rPr>
                <w:color w:val="auto"/>
              </w:rPr>
              <w:t>2319</w:t>
            </w:r>
          </w:p>
        </w:tc>
        <w:tc>
          <w:tcPr>
            <w:tcW w:w="1417" w:type="dxa"/>
            <w:tcBorders>
              <w:top w:val="single" w:color="FFFFFF" w:sz="18" w:space="0"/>
              <w:left w:val="single" w:color="FFFFFF" w:sz="8" w:space="0"/>
              <w:bottom w:val="single" w:color="FFFFFF" w:sz="8" w:space="0"/>
              <w:right w:val="single" w:color="FFFFFF" w:sz="8" w:space="0"/>
            </w:tcBorders>
            <w:shd w:val="clear" w:color="auto" w:fill="D0D8E8"/>
            <w:vAlign w:val="center"/>
          </w:tcPr>
          <w:p>
            <w:pPr>
              <w:pStyle w:val="30"/>
              <w:rPr>
                <w:color w:val="auto"/>
              </w:rPr>
            </w:pPr>
            <w:r>
              <w:rPr>
                <w:color w:val="auto"/>
              </w:rPr>
              <w:t>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2</w:t>
            </w:r>
          </w:p>
        </w:tc>
        <w:tc>
          <w:tcPr>
            <w:tcW w:w="2995"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常规评价性抽检大型商圈</w:t>
            </w:r>
          </w:p>
          <w:p>
            <w:pPr>
              <w:pStyle w:val="30"/>
              <w:rPr>
                <w:color w:val="auto"/>
              </w:rPr>
            </w:pPr>
            <w:r>
              <w:rPr>
                <w:rFonts w:hint="eastAsia"/>
                <w:color w:val="auto"/>
              </w:rPr>
              <w:t>子专项抽检</w:t>
            </w:r>
          </w:p>
        </w:tc>
        <w:tc>
          <w:tcPr>
            <w:tcW w:w="1417"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499</w:t>
            </w:r>
          </w:p>
        </w:tc>
        <w:tc>
          <w:tcPr>
            <w:tcW w:w="1417"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1112</w:t>
            </w:r>
          </w:p>
        </w:tc>
        <w:tc>
          <w:tcPr>
            <w:tcW w:w="1417"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color w:val="auto"/>
              </w:rPr>
              <w:t>1104</w:t>
            </w:r>
          </w:p>
        </w:tc>
        <w:tc>
          <w:tcPr>
            <w:tcW w:w="1417"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color w:val="auto"/>
              </w:rPr>
              <w:t>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709"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3</w:t>
            </w:r>
          </w:p>
        </w:tc>
        <w:tc>
          <w:tcPr>
            <w:tcW w:w="2995"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第四季度常规评价性</w:t>
            </w:r>
          </w:p>
          <w:p>
            <w:pPr>
              <w:pStyle w:val="30"/>
              <w:rPr>
                <w:color w:val="auto"/>
              </w:rPr>
            </w:pPr>
            <w:r>
              <w:rPr>
                <w:rFonts w:hint="eastAsia"/>
                <w:color w:val="auto"/>
              </w:rPr>
              <w:t>专项抽检</w:t>
            </w:r>
          </w:p>
        </w:tc>
        <w:tc>
          <w:tcPr>
            <w:tcW w:w="1417"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1211</w:t>
            </w:r>
          </w:p>
        </w:tc>
        <w:tc>
          <w:tcPr>
            <w:tcW w:w="1417"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3590</w:t>
            </w:r>
          </w:p>
        </w:tc>
        <w:tc>
          <w:tcPr>
            <w:tcW w:w="1417"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color w:val="auto"/>
              </w:rPr>
              <w:t>3544</w:t>
            </w:r>
          </w:p>
        </w:tc>
        <w:tc>
          <w:tcPr>
            <w:tcW w:w="1417"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color w:val="auto"/>
              </w:rPr>
              <w:t>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4</w:t>
            </w:r>
          </w:p>
        </w:tc>
        <w:tc>
          <w:tcPr>
            <w:tcW w:w="2995"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节假日评价性抽检</w:t>
            </w:r>
          </w:p>
          <w:p>
            <w:pPr>
              <w:pStyle w:val="30"/>
              <w:rPr>
                <w:color w:val="auto"/>
              </w:rPr>
            </w:pPr>
            <w:r>
              <w:rPr>
                <w:rFonts w:hint="eastAsia"/>
                <w:color w:val="auto"/>
              </w:rPr>
              <w:t>元旦春节子专项抽检</w:t>
            </w:r>
          </w:p>
        </w:tc>
        <w:tc>
          <w:tcPr>
            <w:tcW w:w="1417"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59</w:t>
            </w:r>
          </w:p>
        </w:tc>
        <w:tc>
          <w:tcPr>
            <w:tcW w:w="1417"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332</w:t>
            </w:r>
          </w:p>
        </w:tc>
        <w:tc>
          <w:tcPr>
            <w:tcW w:w="1417"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color w:val="auto"/>
              </w:rPr>
              <w:t>332</w:t>
            </w:r>
          </w:p>
        </w:tc>
        <w:tc>
          <w:tcPr>
            <w:tcW w:w="1417"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color w:val="auto"/>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709"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5</w:t>
            </w:r>
          </w:p>
        </w:tc>
        <w:tc>
          <w:tcPr>
            <w:tcW w:w="2995"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节假日评价性抽检</w:t>
            </w:r>
          </w:p>
          <w:p>
            <w:pPr>
              <w:pStyle w:val="30"/>
              <w:rPr>
                <w:color w:val="auto"/>
              </w:rPr>
            </w:pPr>
            <w:r>
              <w:rPr>
                <w:rFonts w:hint="eastAsia"/>
                <w:color w:val="auto"/>
              </w:rPr>
              <w:t>端午子专项抽检</w:t>
            </w:r>
          </w:p>
        </w:tc>
        <w:tc>
          <w:tcPr>
            <w:tcW w:w="1417"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43</w:t>
            </w:r>
          </w:p>
        </w:tc>
        <w:tc>
          <w:tcPr>
            <w:tcW w:w="1417"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279</w:t>
            </w:r>
          </w:p>
        </w:tc>
        <w:tc>
          <w:tcPr>
            <w:tcW w:w="1417"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color w:val="auto"/>
              </w:rPr>
              <w:t>279</w:t>
            </w:r>
          </w:p>
        </w:tc>
        <w:tc>
          <w:tcPr>
            <w:tcW w:w="1417"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color w:val="auto"/>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6</w:t>
            </w:r>
          </w:p>
        </w:tc>
        <w:tc>
          <w:tcPr>
            <w:tcW w:w="2995"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节假日评价性抽检</w:t>
            </w:r>
          </w:p>
          <w:p>
            <w:pPr>
              <w:pStyle w:val="30"/>
              <w:rPr>
                <w:color w:val="auto"/>
              </w:rPr>
            </w:pPr>
            <w:r>
              <w:rPr>
                <w:rFonts w:hint="eastAsia"/>
                <w:color w:val="auto"/>
              </w:rPr>
              <w:t>中秋国庆子专项抽检</w:t>
            </w:r>
          </w:p>
        </w:tc>
        <w:tc>
          <w:tcPr>
            <w:tcW w:w="1417"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152</w:t>
            </w:r>
          </w:p>
        </w:tc>
        <w:tc>
          <w:tcPr>
            <w:tcW w:w="1417"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389</w:t>
            </w:r>
          </w:p>
        </w:tc>
        <w:tc>
          <w:tcPr>
            <w:tcW w:w="1417"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color w:val="auto"/>
              </w:rPr>
              <w:t>385</w:t>
            </w:r>
          </w:p>
        </w:tc>
        <w:tc>
          <w:tcPr>
            <w:tcW w:w="1417"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color w:val="auto"/>
              </w:rPr>
              <w:t>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709"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7</w:t>
            </w:r>
          </w:p>
        </w:tc>
        <w:tc>
          <w:tcPr>
            <w:tcW w:w="2995"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校园周边评价性专项抽检</w:t>
            </w:r>
          </w:p>
        </w:tc>
        <w:tc>
          <w:tcPr>
            <w:tcW w:w="1417"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271</w:t>
            </w:r>
          </w:p>
        </w:tc>
        <w:tc>
          <w:tcPr>
            <w:tcW w:w="1417"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2000</w:t>
            </w:r>
          </w:p>
        </w:tc>
        <w:tc>
          <w:tcPr>
            <w:tcW w:w="1417"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color w:val="auto"/>
              </w:rPr>
              <w:t>1994</w:t>
            </w:r>
          </w:p>
        </w:tc>
        <w:tc>
          <w:tcPr>
            <w:tcW w:w="1417"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color w:val="auto"/>
              </w:rPr>
              <w:t>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8</w:t>
            </w:r>
          </w:p>
        </w:tc>
        <w:tc>
          <w:tcPr>
            <w:tcW w:w="2995"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餐饮原料评价性专项抽检</w:t>
            </w:r>
          </w:p>
        </w:tc>
        <w:tc>
          <w:tcPr>
            <w:tcW w:w="1417"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633</w:t>
            </w:r>
          </w:p>
        </w:tc>
        <w:tc>
          <w:tcPr>
            <w:tcW w:w="1417"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921</w:t>
            </w:r>
          </w:p>
        </w:tc>
        <w:tc>
          <w:tcPr>
            <w:tcW w:w="1417"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color w:val="auto"/>
              </w:rPr>
              <w:t>889</w:t>
            </w:r>
          </w:p>
        </w:tc>
        <w:tc>
          <w:tcPr>
            <w:tcW w:w="1417"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color w:val="auto"/>
              </w:rPr>
              <w:t>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709"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9</w:t>
            </w:r>
          </w:p>
        </w:tc>
        <w:tc>
          <w:tcPr>
            <w:tcW w:w="2995"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网络餐饮外卖</w:t>
            </w:r>
          </w:p>
          <w:p>
            <w:pPr>
              <w:pStyle w:val="30"/>
              <w:rPr>
                <w:color w:val="auto"/>
              </w:rPr>
            </w:pPr>
            <w:r>
              <w:rPr>
                <w:rFonts w:hint="eastAsia"/>
                <w:color w:val="auto"/>
              </w:rPr>
              <w:t>评价性专项抽检</w:t>
            </w:r>
          </w:p>
        </w:tc>
        <w:tc>
          <w:tcPr>
            <w:tcW w:w="1417"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310</w:t>
            </w:r>
          </w:p>
        </w:tc>
        <w:tc>
          <w:tcPr>
            <w:tcW w:w="1417"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800</w:t>
            </w:r>
          </w:p>
        </w:tc>
        <w:tc>
          <w:tcPr>
            <w:tcW w:w="1417"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color w:val="auto"/>
              </w:rPr>
              <w:t>796</w:t>
            </w:r>
          </w:p>
        </w:tc>
        <w:tc>
          <w:tcPr>
            <w:tcW w:w="1417"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color w:val="auto"/>
              </w:rPr>
              <w:t>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10</w:t>
            </w:r>
          </w:p>
        </w:tc>
        <w:tc>
          <w:tcPr>
            <w:tcW w:w="2995"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食盐评价性专项抽检</w:t>
            </w:r>
          </w:p>
        </w:tc>
        <w:tc>
          <w:tcPr>
            <w:tcW w:w="1417"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30</w:t>
            </w:r>
          </w:p>
        </w:tc>
        <w:tc>
          <w:tcPr>
            <w:tcW w:w="1417"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30</w:t>
            </w:r>
          </w:p>
        </w:tc>
        <w:tc>
          <w:tcPr>
            <w:tcW w:w="1417"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color w:val="auto"/>
              </w:rPr>
              <w:t>30</w:t>
            </w:r>
          </w:p>
        </w:tc>
        <w:tc>
          <w:tcPr>
            <w:tcW w:w="1417"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color w:val="auto"/>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709"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11</w:t>
            </w:r>
          </w:p>
        </w:tc>
        <w:tc>
          <w:tcPr>
            <w:tcW w:w="2995"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速冻调理肉制品动物源性</w:t>
            </w:r>
          </w:p>
          <w:p>
            <w:pPr>
              <w:pStyle w:val="30"/>
              <w:rPr>
                <w:color w:val="auto"/>
              </w:rPr>
            </w:pPr>
            <w:r>
              <w:rPr>
                <w:rFonts w:hint="eastAsia"/>
                <w:color w:val="auto"/>
              </w:rPr>
              <w:t>成分鉴定评价性专项抽检</w:t>
            </w:r>
          </w:p>
        </w:tc>
        <w:tc>
          <w:tcPr>
            <w:tcW w:w="1417"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165</w:t>
            </w:r>
          </w:p>
        </w:tc>
        <w:tc>
          <w:tcPr>
            <w:tcW w:w="1417"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439</w:t>
            </w:r>
          </w:p>
        </w:tc>
        <w:tc>
          <w:tcPr>
            <w:tcW w:w="1417"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color w:val="auto"/>
              </w:rPr>
              <w:t>390</w:t>
            </w:r>
          </w:p>
        </w:tc>
        <w:tc>
          <w:tcPr>
            <w:tcW w:w="1417"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color w:val="auto"/>
              </w:rPr>
              <w:t>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7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12</w:t>
            </w:r>
          </w:p>
        </w:tc>
        <w:tc>
          <w:tcPr>
            <w:tcW w:w="2995"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深汕特别合作区评价性</w:t>
            </w:r>
          </w:p>
          <w:p>
            <w:pPr>
              <w:pStyle w:val="30"/>
              <w:rPr>
                <w:color w:val="auto"/>
              </w:rPr>
            </w:pPr>
            <w:r>
              <w:rPr>
                <w:rFonts w:hint="eastAsia"/>
                <w:color w:val="auto"/>
              </w:rPr>
              <w:t>专项抽检</w:t>
            </w:r>
          </w:p>
        </w:tc>
        <w:tc>
          <w:tcPr>
            <w:tcW w:w="1417"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125</w:t>
            </w:r>
          </w:p>
        </w:tc>
        <w:tc>
          <w:tcPr>
            <w:tcW w:w="1417"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rFonts w:hint="eastAsia"/>
                <w:color w:val="auto"/>
              </w:rPr>
              <w:t>272</w:t>
            </w:r>
          </w:p>
        </w:tc>
        <w:tc>
          <w:tcPr>
            <w:tcW w:w="1417"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color w:val="auto"/>
              </w:rPr>
              <w:t>260</w:t>
            </w:r>
          </w:p>
        </w:tc>
        <w:tc>
          <w:tcPr>
            <w:tcW w:w="1417" w:type="dxa"/>
            <w:tcBorders>
              <w:top w:val="single" w:color="FFFFFF" w:sz="8" w:space="0"/>
              <w:left w:val="single" w:color="FFFFFF" w:sz="8" w:space="0"/>
              <w:bottom w:val="single" w:color="FFFFFF" w:sz="8" w:space="0"/>
              <w:right w:val="single" w:color="FFFFFF" w:sz="8" w:space="0"/>
            </w:tcBorders>
            <w:shd w:val="clear" w:color="auto" w:fill="E9EDF4"/>
            <w:vAlign w:val="center"/>
          </w:tcPr>
          <w:p>
            <w:pPr>
              <w:pStyle w:val="30"/>
              <w:rPr>
                <w:color w:val="auto"/>
              </w:rPr>
            </w:pPr>
            <w:r>
              <w:rPr>
                <w:color w:val="auto"/>
              </w:rPr>
              <w:t>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3704" w:type="dxa"/>
            <w:gridSpan w:val="2"/>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color w:val="auto"/>
              </w:rPr>
              <w:t>合计</w:t>
            </w:r>
          </w:p>
        </w:tc>
        <w:tc>
          <w:tcPr>
            <w:tcW w:w="1417"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color w:val="auto"/>
              </w:rPr>
              <w:t>3</w:t>
            </w:r>
            <w:r>
              <w:rPr>
                <w:rFonts w:hint="eastAsia"/>
                <w:color w:val="auto"/>
              </w:rPr>
              <w:t>999</w:t>
            </w:r>
          </w:p>
        </w:tc>
        <w:tc>
          <w:tcPr>
            <w:tcW w:w="1417"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color w:val="auto"/>
              </w:rPr>
              <w:t>12</w:t>
            </w:r>
            <w:r>
              <w:rPr>
                <w:rFonts w:hint="eastAsia"/>
                <w:color w:val="auto"/>
              </w:rPr>
              <w:t>500</w:t>
            </w:r>
          </w:p>
        </w:tc>
        <w:tc>
          <w:tcPr>
            <w:tcW w:w="1417"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12322</w:t>
            </w:r>
          </w:p>
        </w:tc>
        <w:tc>
          <w:tcPr>
            <w:tcW w:w="1417" w:type="dxa"/>
            <w:tcBorders>
              <w:top w:val="single" w:color="FFFFFF" w:sz="8" w:space="0"/>
              <w:left w:val="single" w:color="FFFFFF" w:sz="8" w:space="0"/>
              <w:bottom w:val="single" w:color="FFFFFF" w:sz="8" w:space="0"/>
              <w:right w:val="single" w:color="FFFFFF" w:sz="8" w:space="0"/>
            </w:tcBorders>
            <w:shd w:val="clear" w:color="auto" w:fill="D0D8E8"/>
            <w:vAlign w:val="center"/>
          </w:tcPr>
          <w:p>
            <w:pPr>
              <w:pStyle w:val="30"/>
              <w:rPr>
                <w:color w:val="auto"/>
              </w:rPr>
            </w:pPr>
            <w:r>
              <w:rPr>
                <w:rFonts w:hint="eastAsia"/>
                <w:color w:val="auto"/>
              </w:rPr>
              <w:t>98.6</w:t>
            </w:r>
          </w:p>
        </w:tc>
      </w:tr>
    </w:tbl>
    <w:p>
      <w:pPr>
        <w:spacing w:before="120" w:beforeLines="50"/>
        <w:jc w:val="center"/>
        <w:rPr>
          <w:color w:val="auto"/>
        </w:rPr>
      </w:pPr>
    </w:p>
    <w:p>
      <w:pPr>
        <w:spacing w:before="120" w:beforeLines="50"/>
        <w:jc w:val="center"/>
        <w:rPr>
          <w:color w:val="auto"/>
          <w:sz w:val="32"/>
          <w:szCs w:val="32"/>
        </w:rPr>
      </w:pPr>
      <w:r>
        <w:rPr>
          <w:color w:val="auto"/>
        </w:rPr>
        <w:drawing>
          <wp:inline distT="0" distB="0" distL="114300" distR="114300">
            <wp:extent cx="5672455" cy="4798695"/>
            <wp:effectExtent l="0" t="0" r="4445" b="0"/>
            <wp:docPr id="3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6"/>
                    <pic:cNvPicPr>
                      <a:picLocks noChangeAspect="1"/>
                    </pic:cNvPicPr>
                  </pic:nvPicPr>
                  <pic:blipFill>
                    <a:blip r:embed="rId19"/>
                    <a:srcRect b="-1970"/>
                    <a:stretch>
                      <a:fillRect/>
                    </a:stretch>
                  </pic:blipFill>
                  <pic:spPr>
                    <a:xfrm>
                      <a:off x="0" y="0"/>
                      <a:ext cx="5672455" cy="4798695"/>
                    </a:xfrm>
                    <a:prstGeom prst="rect">
                      <a:avLst/>
                    </a:prstGeom>
                    <a:noFill/>
                    <a:ln>
                      <a:noFill/>
                    </a:ln>
                  </pic:spPr>
                </pic:pic>
              </a:graphicData>
            </a:graphic>
          </wp:inline>
        </w:drawing>
      </w:r>
    </w:p>
    <w:p>
      <w:pPr>
        <w:pStyle w:val="28"/>
        <w:spacing w:after="120"/>
        <w:rPr>
          <w:rFonts w:cs="楷体"/>
          <w:b/>
          <w:bCs w:val="0"/>
          <w:color w:val="auto"/>
          <w:kern w:val="0"/>
          <w:szCs w:val="30"/>
        </w:rPr>
      </w:pPr>
      <w:r>
        <w:rPr>
          <w:rFonts w:hint="eastAsia"/>
          <w:color w:val="auto"/>
        </w:rPr>
        <w:t>图</w:t>
      </w:r>
      <w:r>
        <w:rPr>
          <w:rFonts w:hint="eastAsia"/>
          <w:color w:val="auto"/>
          <w:lang w:val="en-US" w:eastAsia="zh-CN"/>
        </w:rPr>
        <w:t>4</w:t>
      </w:r>
      <w:r>
        <w:rPr>
          <w:rFonts w:hint="eastAsia"/>
          <w:color w:val="auto"/>
        </w:rPr>
        <w:t>-2  各专项任务食品抽检样品合格率对比图</w:t>
      </w:r>
    </w:p>
    <w:bookmarkEnd w:id="120"/>
    <w:p>
      <w:pPr>
        <w:rPr>
          <w:color w:val="auto"/>
        </w:rPr>
      </w:pPr>
    </w:p>
    <w:p>
      <w:pPr>
        <w:pStyle w:val="4"/>
        <w:spacing w:before="360"/>
        <w:ind w:firstLine="1285" w:firstLineChars="400"/>
        <w:rPr>
          <w:rFonts w:hint="eastAsia"/>
          <w:color w:val="auto"/>
        </w:rPr>
      </w:pPr>
      <w:bookmarkStart w:id="128" w:name="_GoBack"/>
      <w:bookmarkEnd w:id="128"/>
      <w:bookmarkStart w:id="125" w:name="_Toc8085"/>
      <w:bookmarkStart w:id="126" w:name="_Toc26686"/>
      <w:bookmarkStart w:id="127" w:name="_Toc13938"/>
      <w:r>
        <w:rPr>
          <w:rFonts w:hint="eastAsia"/>
          <w:color w:val="auto"/>
          <w:lang w:eastAsia="zh-CN"/>
        </w:rPr>
        <w:t>三</w:t>
      </w:r>
      <w:r>
        <w:rPr>
          <w:rFonts w:hint="eastAsia"/>
          <w:color w:val="auto"/>
        </w:rPr>
        <w:t>、评价性抽检发现的问题</w:t>
      </w:r>
      <w:bookmarkEnd w:id="125"/>
      <w:bookmarkEnd w:id="126"/>
      <w:bookmarkEnd w:id="127"/>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 w:cs="Times New Roman"/>
          <w:color w:val="auto"/>
          <w:kern w:val="2"/>
          <w:sz w:val="32"/>
          <w:szCs w:val="21"/>
          <w:lang w:val="en-US" w:eastAsia="zh-CN" w:bidi="ar-SA"/>
        </w:rPr>
      </w:pPr>
      <w:r>
        <w:rPr>
          <w:rFonts w:hint="eastAsia" w:ascii="Times New Roman" w:hAnsi="Times New Roman" w:eastAsia="仿宋" w:cs="Times New Roman"/>
          <w:color w:val="auto"/>
          <w:kern w:val="2"/>
          <w:sz w:val="32"/>
          <w:szCs w:val="21"/>
          <w:lang w:val="en-US" w:eastAsia="zh-CN" w:bidi="ar-SA"/>
        </w:rPr>
        <w:t>本年度评价性检测抽检任务抽检检验项目合计达88176项次（约7.1项/批次样品），共检出不合格样品178批次，检出不合格项目182项次，抽检项目合格率为99.8%（87994/88176）。检出不合格样品的食品大类有粮食加工品、食用油、油脂及其制品、调味品、乳制品、饼干、冷冻饮品、速冻食品、薯类和膨化食品、酒类、蔬菜制品、水果制品、炒货食品及坚果制品、水产制品、淀粉及淀粉制品、糕点、豆制品、蜂产品、特殊膳食食品、餐饮食品及食用农产品</w:t>
      </w:r>
      <w:r>
        <w:rPr>
          <w:rFonts w:ascii="Times New Roman" w:hAnsi="Times New Roman" w:eastAsia="仿宋" w:cs="Times New Roman"/>
          <w:color w:val="auto"/>
          <w:kern w:val="2"/>
          <w:sz w:val="32"/>
          <w:szCs w:val="21"/>
          <w:lang w:val="en-US" w:eastAsia="zh-CN" w:bidi="ar-SA"/>
        </w:rPr>
        <w:t>20</w:t>
      </w:r>
      <w:r>
        <w:rPr>
          <w:rFonts w:hint="eastAsia" w:ascii="Times New Roman" w:hAnsi="Times New Roman" w:eastAsia="仿宋" w:cs="Times New Roman"/>
          <w:color w:val="auto"/>
          <w:kern w:val="2"/>
          <w:sz w:val="32"/>
          <w:szCs w:val="21"/>
          <w:lang w:val="en-US" w:eastAsia="zh-CN" w:bidi="ar-SA"/>
        </w:rPr>
        <w:t>大类</w:t>
      </w:r>
      <w:r>
        <w:rPr>
          <w:rFonts w:ascii="Times New Roman" w:hAnsi="Times New Roman" w:eastAsia="仿宋" w:cs="Times New Roman"/>
          <w:color w:val="auto"/>
          <w:kern w:val="2"/>
          <w:sz w:val="32"/>
          <w:szCs w:val="21"/>
          <w:lang w:val="en-US" w:eastAsia="zh-CN" w:bidi="ar-SA"/>
        </w:rPr>
        <w:t>食品</w:t>
      </w:r>
      <w:r>
        <w:rPr>
          <w:rFonts w:hint="eastAsia" w:ascii="Times New Roman" w:hAnsi="Times New Roman" w:eastAsia="仿宋" w:cs="Times New Roman"/>
          <w:color w:val="auto"/>
          <w:kern w:val="2"/>
          <w:sz w:val="32"/>
          <w:szCs w:val="21"/>
          <w:lang w:val="en-US" w:eastAsia="zh-CN" w:bidi="ar-SA"/>
        </w:rPr>
        <w:t>，检出的不合格项目主要为品质指标猪源性成分鉴定和鸭源性成分鉴定、非食用物质</w:t>
      </w:r>
      <w:r>
        <w:rPr>
          <w:rFonts w:ascii="Times New Roman" w:hAnsi="Times New Roman" w:eastAsia="仿宋" w:cs="Times New Roman"/>
          <w:color w:val="auto"/>
          <w:kern w:val="2"/>
          <w:sz w:val="32"/>
          <w:szCs w:val="21"/>
          <w:lang w:val="en-US" w:eastAsia="zh-CN" w:bidi="ar-SA"/>
        </w:rPr>
        <w:t>4-氯苯氧乙酸钠（以对氯苯氧乙酸计）</w:t>
      </w:r>
      <w:r>
        <w:rPr>
          <w:rFonts w:hint="eastAsia" w:ascii="Times New Roman" w:hAnsi="Times New Roman" w:eastAsia="仿宋" w:cs="Times New Roman"/>
          <w:color w:val="auto"/>
          <w:kern w:val="2"/>
          <w:sz w:val="32"/>
          <w:szCs w:val="21"/>
          <w:lang w:val="en-US" w:eastAsia="zh-CN" w:bidi="ar-SA"/>
        </w:rPr>
        <w:t>和邻苯二甲酸二正丁酯（</w:t>
      </w:r>
      <w:r>
        <w:rPr>
          <w:rFonts w:ascii="Times New Roman" w:hAnsi="Times New Roman" w:eastAsia="仿宋" w:cs="Times New Roman"/>
          <w:color w:val="auto"/>
          <w:kern w:val="2"/>
          <w:sz w:val="32"/>
          <w:szCs w:val="21"/>
          <w:lang w:val="en-US" w:eastAsia="zh-CN" w:bidi="ar-SA"/>
        </w:rPr>
        <w:t>DBP）、</w:t>
      </w:r>
      <w:r>
        <w:rPr>
          <w:rFonts w:hint="eastAsia" w:ascii="Times New Roman" w:hAnsi="Times New Roman" w:eastAsia="仿宋" w:cs="Times New Roman"/>
          <w:color w:val="auto"/>
          <w:kern w:val="2"/>
          <w:sz w:val="32"/>
          <w:szCs w:val="21"/>
          <w:lang w:val="en-US" w:eastAsia="zh-CN" w:bidi="ar-SA"/>
        </w:rPr>
        <w:t>食品添加剂二氧化硫残留量、金属元素污染物铅和卫生指标菌大肠菌群等37类项目，具体不合格项目检出情况见</w:t>
      </w:r>
      <w:r>
        <w:rPr>
          <w:rFonts w:ascii="Times New Roman" w:hAnsi="Times New Roman" w:eastAsia="仿宋" w:cs="Times New Roman"/>
          <w:color w:val="auto"/>
          <w:kern w:val="2"/>
          <w:sz w:val="32"/>
          <w:szCs w:val="21"/>
          <w:lang w:val="en-US" w:eastAsia="zh-CN" w:bidi="ar-SA"/>
        </w:rPr>
        <w:t>图</w:t>
      </w:r>
      <w:r>
        <w:rPr>
          <w:rFonts w:hint="eastAsia" w:eastAsia="仿宋" w:cs="Times New Roman"/>
          <w:color w:val="auto"/>
          <w:kern w:val="2"/>
          <w:sz w:val="32"/>
          <w:szCs w:val="21"/>
          <w:lang w:val="en-US" w:eastAsia="zh-CN" w:bidi="ar-SA"/>
        </w:rPr>
        <w:t>4</w:t>
      </w:r>
      <w:r>
        <w:rPr>
          <w:rFonts w:ascii="Times New Roman" w:hAnsi="Times New Roman" w:eastAsia="仿宋" w:cs="Times New Roman"/>
          <w:color w:val="auto"/>
          <w:kern w:val="2"/>
          <w:sz w:val="32"/>
          <w:szCs w:val="21"/>
          <w:lang w:val="en-US" w:eastAsia="zh-CN" w:bidi="ar-SA"/>
        </w:rPr>
        <w:t>-</w:t>
      </w:r>
      <w:r>
        <w:rPr>
          <w:rFonts w:hint="eastAsia" w:eastAsia="仿宋" w:cs="Times New Roman"/>
          <w:color w:val="auto"/>
          <w:kern w:val="2"/>
          <w:sz w:val="32"/>
          <w:szCs w:val="21"/>
          <w:lang w:val="en-US" w:eastAsia="zh-CN" w:bidi="ar-SA"/>
        </w:rPr>
        <w:t>3。</w:t>
      </w:r>
    </w:p>
    <w:p>
      <w:pPr>
        <w:pStyle w:val="2"/>
        <w:rPr>
          <w:rFonts w:ascii="等线" w:hAnsi="等线" w:eastAsia="等线"/>
          <w:color w:val="auto"/>
        </w:rPr>
      </w:pPr>
      <w:r>
        <w:rPr>
          <w:rFonts w:ascii="等线" w:hAnsi="等线" w:eastAsia="等线"/>
          <w:color w:val="auto"/>
        </w:rPr>
        <w:drawing>
          <wp:inline distT="0" distB="0" distL="114300" distR="114300">
            <wp:extent cx="5388610" cy="4060190"/>
            <wp:effectExtent l="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rcRect b="-3087"/>
                    <a:stretch>
                      <a:fillRect/>
                    </a:stretch>
                  </pic:blipFill>
                  <pic:spPr>
                    <a:xfrm>
                      <a:off x="0" y="0"/>
                      <a:ext cx="5388610" cy="4060190"/>
                    </a:xfrm>
                    <a:prstGeom prst="rect">
                      <a:avLst/>
                    </a:prstGeom>
                    <a:noFill/>
                    <a:ln>
                      <a:noFill/>
                    </a:ln>
                  </pic:spPr>
                </pic:pic>
              </a:graphicData>
            </a:graphic>
          </wp:inline>
        </w:drawing>
      </w:r>
    </w:p>
    <w:p>
      <w:pPr>
        <w:pStyle w:val="28"/>
        <w:spacing w:after="120"/>
        <w:rPr>
          <w:rFonts w:cs="楷体"/>
          <w:b/>
          <w:bCs w:val="0"/>
          <w:color w:val="auto"/>
          <w:kern w:val="0"/>
          <w:szCs w:val="30"/>
        </w:rPr>
      </w:pPr>
      <w:r>
        <w:rPr>
          <w:rFonts w:hint="eastAsia"/>
          <w:color w:val="auto"/>
        </w:rPr>
        <w:t>图</w:t>
      </w:r>
      <w:r>
        <w:rPr>
          <w:rFonts w:hint="eastAsia"/>
          <w:color w:val="auto"/>
          <w:lang w:val="en-US" w:eastAsia="zh-CN"/>
        </w:rPr>
        <w:t>4</w:t>
      </w:r>
      <w:r>
        <w:rPr>
          <w:color w:val="auto"/>
        </w:rPr>
        <w:t>-</w:t>
      </w:r>
      <w:r>
        <w:rPr>
          <w:rFonts w:hint="eastAsia"/>
          <w:color w:val="auto"/>
          <w:lang w:val="en-US" w:eastAsia="zh-CN"/>
        </w:rPr>
        <w:t>3</w:t>
      </w:r>
      <w:r>
        <w:rPr>
          <w:rFonts w:hint="eastAsia"/>
          <w:color w:val="auto"/>
        </w:rPr>
        <w:t xml:space="preserve">  各项目大类不合格项目检出项次图</w:t>
      </w:r>
    </w:p>
    <w:p>
      <w:pPr>
        <w:pStyle w:val="2"/>
        <w:rPr>
          <w:rFonts w:ascii="等线" w:hAnsi="等线" w:eastAsia="等线"/>
          <w:color w:val="auto"/>
        </w:rPr>
      </w:pPr>
    </w:p>
    <w:sectPr>
      <w:headerReference r:id="rId3" w:type="default"/>
      <w:footerReference r:id="rId4" w:type="default"/>
      <w:pgSz w:w="11906" w:h="16838"/>
      <w:pgMar w:top="1474" w:right="1474" w:bottom="1587" w:left="1474"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szCs w:val="28"/>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290</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OqXm5zwAAAAUBAAAPAAAAAAAAAAEA&#10;IAAAACIAAABkcnMvZG93bnJldi54bWxQSwECFAAUAAAACACHTuJAgRKqRKYBAABBAwAADgAAAAAA&#10;AAABACAAAAAeAQAAZHJzL2Uyb0RvYy54bWxQSwUGAAAAAAYABgBZAQAANgUAAAAA&#10;">
              <v:fill on="f" focussize="0,0"/>
              <v:stroke on="f"/>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290</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F4B"/>
    <w:rsid w:val="002F5C2A"/>
    <w:rsid w:val="005E21CC"/>
    <w:rsid w:val="006D703F"/>
    <w:rsid w:val="007E0242"/>
    <w:rsid w:val="00AF5998"/>
    <w:rsid w:val="00E0648D"/>
    <w:rsid w:val="00EB0F4B"/>
    <w:rsid w:val="00FA562D"/>
    <w:rsid w:val="01011232"/>
    <w:rsid w:val="0284287A"/>
    <w:rsid w:val="04CF6DF7"/>
    <w:rsid w:val="054C070E"/>
    <w:rsid w:val="056628F0"/>
    <w:rsid w:val="063C53FF"/>
    <w:rsid w:val="06C96230"/>
    <w:rsid w:val="06F001C3"/>
    <w:rsid w:val="073A1314"/>
    <w:rsid w:val="082524AA"/>
    <w:rsid w:val="08801C8D"/>
    <w:rsid w:val="08CA1E4A"/>
    <w:rsid w:val="096B4A61"/>
    <w:rsid w:val="09B04034"/>
    <w:rsid w:val="0AAB7F56"/>
    <w:rsid w:val="0B7F42E3"/>
    <w:rsid w:val="0BF65CF2"/>
    <w:rsid w:val="0C9B5C6D"/>
    <w:rsid w:val="0CEE514E"/>
    <w:rsid w:val="0CF26AC3"/>
    <w:rsid w:val="0EF900A2"/>
    <w:rsid w:val="0FD635EA"/>
    <w:rsid w:val="120C04B6"/>
    <w:rsid w:val="126F2382"/>
    <w:rsid w:val="13973A92"/>
    <w:rsid w:val="139F6C24"/>
    <w:rsid w:val="13BA57B4"/>
    <w:rsid w:val="14432A45"/>
    <w:rsid w:val="14996BFD"/>
    <w:rsid w:val="15332252"/>
    <w:rsid w:val="153B4CF3"/>
    <w:rsid w:val="154F0E17"/>
    <w:rsid w:val="15A8755F"/>
    <w:rsid w:val="18422582"/>
    <w:rsid w:val="184919CB"/>
    <w:rsid w:val="18CB72ED"/>
    <w:rsid w:val="18E9118F"/>
    <w:rsid w:val="19057F7B"/>
    <w:rsid w:val="1A78062C"/>
    <w:rsid w:val="1B8C5121"/>
    <w:rsid w:val="1D62154A"/>
    <w:rsid w:val="1F8234E3"/>
    <w:rsid w:val="1FE347A3"/>
    <w:rsid w:val="2018628C"/>
    <w:rsid w:val="215660FC"/>
    <w:rsid w:val="21BF7167"/>
    <w:rsid w:val="22605E2B"/>
    <w:rsid w:val="246846C3"/>
    <w:rsid w:val="24C91A8A"/>
    <w:rsid w:val="25BF2136"/>
    <w:rsid w:val="25F510DD"/>
    <w:rsid w:val="267D612E"/>
    <w:rsid w:val="268E6DB3"/>
    <w:rsid w:val="2694151B"/>
    <w:rsid w:val="274B574D"/>
    <w:rsid w:val="278F2218"/>
    <w:rsid w:val="28B16057"/>
    <w:rsid w:val="29A17CF5"/>
    <w:rsid w:val="2A444AB6"/>
    <w:rsid w:val="2A647B61"/>
    <w:rsid w:val="2A9B600A"/>
    <w:rsid w:val="2B1549D1"/>
    <w:rsid w:val="2B175629"/>
    <w:rsid w:val="2B484C99"/>
    <w:rsid w:val="2B91058F"/>
    <w:rsid w:val="2BF10E76"/>
    <w:rsid w:val="2D485646"/>
    <w:rsid w:val="2D502880"/>
    <w:rsid w:val="2D6703A6"/>
    <w:rsid w:val="2E3A3C9C"/>
    <w:rsid w:val="2EFF5208"/>
    <w:rsid w:val="2F7726AF"/>
    <w:rsid w:val="319E7BF5"/>
    <w:rsid w:val="325764D8"/>
    <w:rsid w:val="34636FAE"/>
    <w:rsid w:val="34817F44"/>
    <w:rsid w:val="34DC37C3"/>
    <w:rsid w:val="351D1A30"/>
    <w:rsid w:val="38A03AC3"/>
    <w:rsid w:val="38E963C9"/>
    <w:rsid w:val="39330758"/>
    <w:rsid w:val="394E0927"/>
    <w:rsid w:val="39AB2AE5"/>
    <w:rsid w:val="39C62F96"/>
    <w:rsid w:val="39FD11F7"/>
    <w:rsid w:val="3A142D53"/>
    <w:rsid w:val="3A514BF1"/>
    <w:rsid w:val="3AE76711"/>
    <w:rsid w:val="3C0324F7"/>
    <w:rsid w:val="3C537D12"/>
    <w:rsid w:val="3C682ED6"/>
    <w:rsid w:val="3DC8394F"/>
    <w:rsid w:val="3ED505E8"/>
    <w:rsid w:val="3F8A04C5"/>
    <w:rsid w:val="3F91328E"/>
    <w:rsid w:val="40514493"/>
    <w:rsid w:val="40F81575"/>
    <w:rsid w:val="41F20B46"/>
    <w:rsid w:val="422F5130"/>
    <w:rsid w:val="42AA6BDA"/>
    <w:rsid w:val="4423023D"/>
    <w:rsid w:val="44307A99"/>
    <w:rsid w:val="465216BE"/>
    <w:rsid w:val="470254B9"/>
    <w:rsid w:val="476D5D2B"/>
    <w:rsid w:val="480E5D2C"/>
    <w:rsid w:val="490616C3"/>
    <w:rsid w:val="4A092E22"/>
    <w:rsid w:val="4A59320A"/>
    <w:rsid w:val="4A5B77FB"/>
    <w:rsid w:val="4B4B0EA9"/>
    <w:rsid w:val="4BE32D10"/>
    <w:rsid w:val="4C344235"/>
    <w:rsid w:val="4CA54CD4"/>
    <w:rsid w:val="4D5213FE"/>
    <w:rsid w:val="4DEB2CEA"/>
    <w:rsid w:val="4FB527B9"/>
    <w:rsid w:val="508469DF"/>
    <w:rsid w:val="509F61EE"/>
    <w:rsid w:val="50E60DB9"/>
    <w:rsid w:val="51A2108D"/>
    <w:rsid w:val="51F03538"/>
    <w:rsid w:val="53C355AC"/>
    <w:rsid w:val="53E772C5"/>
    <w:rsid w:val="5435741F"/>
    <w:rsid w:val="54B70594"/>
    <w:rsid w:val="55341873"/>
    <w:rsid w:val="55613921"/>
    <w:rsid w:val="56815682"/>
    <w:rsid w:val="57BE45F3"/>
    <w:rsid w:val="5821270D"/>
    <w:rsid w:val="585D5ED5"/>
    <w:rsid w:val="590E62E6"/>
    <w:rsid w:val="5AAC5EC6"/>
    <w:rsid w:val="5B2833E8"/>
    <w:rsid w:val="5BCF5282"/>
    <w:rsid w:val="5D3A0325"/>
    <w:rsid w:val="5D4B5B45"/>
    <w:rsid w:val="5E0E2E33"/>
    <w:rsid w:val="60F870B6"/>
    <w:rsid w:val="6186714B"/>
    <w:rsid w:val="62344CB0"/>
    <w:rsid w:val="629403D0"/>
    <w:rsid w:val="62BB3761"/>
    <w:rsid w:val="64B15A68"/>
    <w:rsid w:val="66451866"/>
    <w:rsid w:val="66605415"/>
    <w:rsid w:val="66B34A7F"/>
    <w:rsid w:val="66DA0F04"/>
    <w:rsid w:val="67EA6808"/>
    <w:rsid w:val="68A40281"/>
    <w:rsid w:val="69253FF5"/>
    <w:rsid w:val="69520905"/>
    <w:rsid w:val="699E012A"/>
    <w:rsid w:val="6A127FAD"/>
    <w:rsid w:val="6A69374E"/>
    <w:rsid w:val="6BF166C0"/>
    <w:rsid w:val="6C687877"/>
    <w:rsid w:val="6D6E5F65"/>
    <w:rsid w:val="6E844A61"/>
    <w:rsid w:val="6E875850"/>
    <w:rsid w:val="6F3B50B6"/>
    <w:rsid w:val="6FEB3F26"/>
    <w:rsid w:val="70056379"/>
    <w:rsid w:val="71071BFB"/>
    <w:rsid w:val="71A4696F"/>
    <w:rsid w:val="720A52D4"/>
    <w:rsid w:val="73150020"/>
    <w:rsid w:val="73433A95"/>
    <w:rsid w:val="73A40779"/>
    <w:rsid w:val="74A92E2C"/>
    <w:rsid w:val="754338C4"/>
    <w:rsid w:val="7680422A"/>
    <w:rsid w:val="7785683F"/>
    <w:rsid w:val="797B3C7E"/>
    <w:rsid w:val="7B1512E8"/>
    <w:rsid w:val="7B1B2F07"/>
    <w:rsid w:val="7BCB598C"/>
    <w:rsid w:val="7BE41C65"/>
    <w:rsid w:val="7C27573D"/>
    <w:rsid w:val="7D422E78"/>
    <w:rsid w:val="7DD650E7"/>
    <w:rsid w:val="7EBC3765"/>
    <w:rsid w:val="7EFA65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unhideWhenUsed="0" w:uiPriority="0" w:semiHidden="0" w:name="toc 5"/>
    <w:lsdException w:unhideWhenUsed="0" w:uiPriority="0" w:semiHidden="0" w:name="toc 6"/>
    <w:lsdException w:qFormat="1" w:unhideWhenUsed="0" w:uiPriority="39"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4">
    <w:name w:val="heading 2"/>
    <w:basedOn w:val="1"/>
    <w:next w:val="1"/>
    <w:qFormat/>
    <w:uiPriority w:val="9"/>
    <w:pPr>
      <w:keepNext/>
      <w:keepLines/>
      <w:spacing w:before="150" w:beforeLines="150" w:line="360" w:lineRule="auto"/>
      <w:outlineLvl w:val="1"/>
    </w:pPr>
    <w:rPr>
      <w:rFonts w:ascii="黑体" w:hAnsi="黑体" w:eastAsia="黑体"/>
      <w:b/>
      <w:bCs/>
      <w:sz w:val="32"/>
      <w:szCs w:val="32"/>
    </w:rPr>
  </w:style>
  <w:style w:type="paragraph" w:styleId="5">
    <w:name w:val="heading 3"/>
    <w:basedOn w:val="1"/>
    <w:next w:val="1"/>
    <w:qFormat/>
    <w:uiPriority w:val="9"/>
    <w:pPr>
      <w:keepNext/>
      <w:keepLines/>
      <w:spacing w:before="100" w:beforeLines="100" w:after="50" w:afterLines="50"/>
      <w:outlineLvl w:val="2"/>
    </w:pPr>
    <w:rPr>
      <w:rFonts w:ascii="黑体" w:hAnsi="黑体" w:eastAsia="黑体"/>
      <w:bCs/>
      <w:sz w:val="32"/>
      <w:szCs w:val="32"/>
    </w:rPr>
  </w:style>
  <w:style w:type="paragraph" w:styleId="6">
    <w:name w:val="heading 4"/>
    <w:basedOn w:val="1"/>
    <w:next w:val="1"/>
    <w:link w:val="35"/>
    <w:qFormat/>
    <w:uiPriority w:val="9"/>
    <w:pPr>
      <w:keepNext/>
      <w:keepLines/>
      <w:spacing w:line="560" w:lineRule="exact"/>
      <w:ind w:firstLine="602" w:firstLineChars="200"/>
      <w:outlineLvl w:val="3"/>
    </w:pPr>
    <w:rPr>
      <w:rFonts w:ascii="Calibri Light" w:hAnsi="Calibri Light"/>
      <w:b/>
      <w:bCs/>
      <w:sz w:val="32"/>
      <w:szCs w:val="28"/>
    </w:rPr>
  </w:style>
  <w:style w:type="paragraph" w:styleId="7">
    <w:name w:val="heading 5"/>
    <w:basedOn w:val="1"/>
    <w:next w:val="1"/>
    <w:qFormat/>
    <w:uiPriority w:val="9"/>
    <w:pPr>
      <w:keepNext/>
      <w:keepLines/>
      <w:spacing w:line="560" w:lineRule="exact"/>
      <w:ind w:firstLine="567"/>
      <w:outlineLvl w:val="4"/>
    </w:pPr>
    <w:rPr>
      <w:rFonts w:ascii="Calibri" w:hAnsi="Calibri"/>
      <w:b/>
      <w:bCs/>
      <w:sz w:val="32"/>
      <w:szCs w:val="28"/>
    </w:rPr>
  </w:style>
  <w:style w:type="paragraph" w:styleId="8">
    <w:name w:val="heading 6"/>
    <w:basedOn w:val="1"/>
    <w:next w:val="1"/>
    <w:qFormat/>
    <w:uiPriority w:val="0"/>
    <w:pPr>
      <w:keepNext/>
      <w:keepLines/>
      <w:spacing w:line="560" w:lineRule="exact"/>
      <w:ind w:firstLine="602" w:firstLineChars="200"/>
      <w:outlineLvl w:val="5"/>
    </w:pPr>
    <w:rPr>
      <w:rFonts w:ascii="Cambria" w:hAnsi="Cambria"/>
      <w:b/>
      <w:bCs/>
      <w:sz w:val="32"/>
      <w:szCs w:val="24"/>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2"/>
    <w:basedOn w:val="3"/>
    <w:qFormat/>
    <w:uiPriority w:val="0"/>
    <w:pPr>
      <w:spacing w:before="0"/>
      <w:ind w:left="420" w:leftChars="200" w:firstLine="420"/>
    </w:pPr>
    <w:rPr>
      <w:kern w:val="2"/>
    </w:rPr>
  </w:style>
  <w:style w:type="paragraph" w:styleId="3">
    <w:name w:val="Body Text Indent"/>
    <w:basedOn w:val="1"/>
    <w:qFormat/>
    <w:uiPriority w:val="0"/>
    <w:pPr>
      <w:spacing w:before="120" w:after="120"/>
      <w:ind w:firstLine="480" w:firstLineChars="200"/>
    </w:pPr>
    <w:rPr>
      <w:kern w:val="0"/>
    </w:rPr>
  </w:style>
  <w:style w:type="paragraph" w:styleId="9">
    <w:name w:val="List 3"/>
    <w:basedOn w:val="1"/>
    <w:qFormat/>
    <w:uiPriority w:val="0"/>
    <w:pPr>
      <w:ind w:left="100" w:leftChars="400" w:hanging="200" w:hangingChars="200"/>
      <w:contextualSpacing/>
    </w:pPr>
  </w:style>
  <w:style w:type="paragraph" w:styleId="10">
    <w:name w:val="toc 7"/>
    <w:basedOn w:val="1"/>
    <w:next w:val="1"/>
    <w:qFormat/>
    <w:uiPriority w:val="39"/>
    <w:pPr>
      <w:ind w:left="1260"/>
      <w:jc w:val="left"/>
    </w:pPr>
    <w:rPr>
      <w:rFonts w:ascii="Calibri" w:hAnsi="Calibri"/>
      <w:sz w:val="18"/>
      <w:szCs w:val="18"/>
    </w:rPr>
  </w:style>
  <w:style w:type="paragraph" w:styleId="11">
    <w:name w:val="caption"/>
    <w:basedOn w:val="1"/>
    <w:next w:val="1"/>
    <w:qFormat/>
    <w:uiPriority w:val="0"/>
    <w:rPr>
      <w:rFonts w:ascii="Cambria" w:hAnsi="Cambria" w:eastAsia="黑体"/>
      <w:sz w:val="20"/>
      <w:szCs w:val="20"/>
    </w:rPr>
  </w:style>
  <w:style w:type="paragraph" w:styleId="12">
    <w:name w:val="toc 3"/>
    <w:basedOn w:val="1"/>
    <w:next w:val="1"/>
    <w:unhideWhenUsed/>
    <w:qFormat/>
    <w:uiPriority w:val="39"/>
    <w:pPr>
      <w:spacing w:line="520" w:lineRule="exact"/>
      <w:ind w:left="210" w:firstLine="170"/>
      <w:jc w:val="left"/>
    </w:pPr>
    <w:rPr>
      <w:rFonts w:ascii="Calibri" w:hAnsi="Calibri"/>
      <w:iCs/>
      <w:sz w:val="28"/>
      <w:szCs w:val="20"/>
    </w:rPr>
  </w:style>
  <w:style w:type="paragraph" w:styleId="13">
    <w:name w:val="Balloon Text"/>
    <w:basedOn w:val="1"/>
    <w:link w:val="39"/>
    <w:qFormat/>
    <w:uiPriority w:val="0"/>
    <w:rPr>
      <w:sz w:val="18"/>
      <w:szCs w:val="18"/>
    </w:rPr>
  </w:style>
  <w:style w:type="paragraph" w:styleId="14">
    <w:name w:val="footer"/>
    <w:basedOn w:val="1"/>
    <w:qFormat/>
    <w:uiPriority w:val="99"/>
    <w:pPr>
      <w:tabs>
        <w:tab w:val="center" w:pos="4153"/>
        <w:tab w:val="right" w:pos="8306"/>
      </w:tabs>
      <w:snapToGrid w:val="0"/>
      <w:jc w:val="left"/>
    </w:pPr>
    <w:rPr>
      <w:sz w:val="18"/>
      <w:szCs w:val="18"/>
    </w:rPr>
  </w:style>
  <w:style w:type="paragraph" w:styleId="1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spacing w:before="120" w:after="120" w:line="520" w:lineRule="exact"/>
      <w:jc w:val="left"/>
    </w:pPr>
    <w:rPr>
      <w:rFonts w:ascii="Calibri" w:hAnsi="Calibri"/>
      <w:b/>
      <w:bCs/>
      <w:caps/>
      <w:sz w:val="28"/>
      <w:szCs w:val="20"/>
    </w:rPr>
  </w:style>
  <w:style w:type="paragraph" w:styleId="17">
    <w:name w:val="toc 4"/>
    <w:basedOn w:val="1"/>
    <w:next w:val="1"/>
    <w:qFormat/>
    <w:uiPriority w:val="39"/>
    <w:pPr>
      <w:spacing w:line="500" w:lineRule="exact"/>
      <w:ind w:left="629" w:firstLine="690" w:firstLineChars="229"/>
      <w:jc w:val="left"/>
    </w:pPr>
    <w:rPr>
      <w:rFonts w:ascii="Calibri" w:hAnsi="Calibri" w:eastAsia="楷体"/>
      <w:sz w:val="28"/>
      <w:szCs w:val="18"/>
    </w:rPr>
  </w:style>
  <w:style w:type="paragraph" w:styleId="18">
    <w:name w:val="toc 2"/>
    <w:basedOn w:val="1"/>
    <w:next w:val="1"/>
    <w:unhideWhenUsed/>
    <w:qFormat/>
    <w:uiPriority w:val="39"/>
    <w:pPr>
      <w:spacing w:line="520" w:lineRule="exact"/>
      <w:ind w:left="210"/>
      <w:jc w:val="left"/>
    </w:pPr>
    <w:rPr>
      <w:rFonts w:ascii="Calibri" w:hAnsi="Calibri"/>
      <w:smallCaps/>
      <w:sz w:val="28"/>
      <w:szCs w:val="20"/>
    </w:rPr>
  </w:style>
  <w:style w:type="paragraph" w:styleId="19">
    <w:name w:val="Title"/>
    <w:basedOn w:val="1"/>
    <w:next w:val="1"/>
    <w:link w:val="24"/>
    <w:qFormat/>
    <w:uiPriority w:val="0"/>
    <w:pPr>
      <w:jc w:val="center"/>
      <w:outlineLvl w:val="0"/>
    </w:pPr>
    <w:rPr>
      <w:rFonts w:ascii="华文宋体" w:hAnsi="华文宋体" w:eastAsia="华文中宋"/>
      <w:b/>
      <w:bCs/>
      <w:sz w:val="48"/>
      <w:szCs w:val="32"/>
    </w:r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paragraph" w:styleId="23">
    <w:name w:val="No Spacing"/>
    <w:qFormat/>
    <w:uiPriority w:val="1"/>
    <w:rPr>
      <w:rFonts w:ascii="Times New Roman" w:hAnsi="Times New Roman" w:eastAsia="宋体" w:cs="Times New Roman"/>
      <w:sz w:val="22"/>
      <w:szCs w:val="22"/>
      <w:lang w:val="en-US" w:eastAsia="zh-CN" w:bidi="ar-SA"/>
    </w:rPr>
  </w:style>
  <w:style w:type="character" w:customStyle="1" w:styleId="24">
    <w:name w:val="标题 字符"/>
    <w:link w:val="19"/>
    <w:qFormat/>
    <w:uiPriority w:val="0"/>
    <w:rPr>
      <w:rFonts w:ascii="华文宋体" w:hAnsi="华文宋体" w:eastAsia="华文中宋"/>
      <w:b/>
      <w:bCs/>
      <w:sz w:val="48"/>
      <w:szCs w:val="32"/>
    </w:rPr>
  </w:style>
  <w:style w:type="paragraph" w:customStyle="1" w:styleId="25">
    <w:name w:val="正文2"/>
    <w:basedOn w:val="26"/>
    <w:link w:val="27"/>
    <w:qFormat/>
    <w:uiPriority w:val="0"/>
    <w:pPr>
      <w:ind w:firstLine="602"/>
    </w:pPr>
    <w:rPr>
      <w:rFonts w:ascii="Times New Roman"/>
    </w:rPr>
  </w:style>
  <w:style w:type="paragraph" w:customStyle="1" w:styleId="26">
    <w:name w:val="正文1"/>
    <w:basedOn w:val="1"/>
    <w:qFormat/>
    <w:uiPriority w:val="0"/>
    <w:pPr>
      <w:spacing w:line="560" w:lineRule="exact"/>
      <w:ind w:firstLine="640" w:firstLineChars="200"/>
    </w:pPr>
    <w:rPr>
      <w:rFonts w:ascii="仿宋" w:eastAsia="仿宋"/>
      <w:sz w:val="32"/>
    </w:rPr>
  </w:style>
  <w:style w:type="character" w:customStyle="1" w:styleId="27">
    <w:name w:val="正文 Char1"/>
    <w:link w:val="25"/>
    <w:qFormat/>
    <w:uiPriority w:val="0"/>
    <w:rPr>
      <w:rFonts w:ascii="Times New Roman" w:hAnsi="Times New Roman" w:eastAsia="仿宋"/>
      <w:sz w:val="32"/>
    </w:rPr>
  </w:style>
  <w:style w:type="paragraph" w:customStyle="1" w:styleId="28">
    <w:name w:val="图表标注"/>
    <w:basedOn w:val="1"/>
    <w:link w:val="37"/>
    <w:qFormat/>
    <w:uiPriority w:val="0"/>
    <w:pPr>
      <w:snapToGrid w:val="0"/>
      <w:spacing w:after="50" w:afterLines="50" w:line="400" w:lineRule="exact"/>
      <w:jc w:val="center"/>
    </w:pPr>
    <w:rPr>
      <w:rFonts w:ascii="楷体" w:hAnsi="楷体" w:eastAsia="楷体"/>
      <w:bCs/>
      <w:color w:val="000000"/>
      <w:sz w:val="30"/>
      <w:szCs w:val="28"/>
    </w:rPr>
  </w:style>
  <w:style w:type="paragraph" w:customStyle="1" w:styleId="29">
    <w:name w:val="表头黑体"/>
    <w:basedOn w:val="1"/>
    <w:qFormat/>
    <w:uiPriority w:val="0"/>
    <w:pPr>
      <w:widowControl/>
      <w:spacing w:line="300" w:lineRule="exact"/>
      <w:jc w:val="center"/>
    </w:pPr>
    <w:rPr>
      <w:rFonts w:ascii="黑体" w:hAnsi="黑体" w:eastAsia="黑体"/>
      <w:b/>
      <w:bCs/>
      <w:kern w:val="0"/>
    </w:rPr>
  </w:style>
  <w:style w:type="paragraph" w:customStyle="1" w:styleId="30">
    <w:name w:val="表格里文字"/>
    <w:basedOn w:val="1"/>
    <w:qFormat/>
    <w:uiPriority w:val="0"/>
    <w:pPr>
      <w:widowControl/>
      <w:spacing w:line="260" w:lineRule="exact"/>
      <w:jc w:val="center"/>
    </w:pPr>
    <w:rPr>
      <w:rFonts w:ascii="仿宋" w:hAnsi="仿宋" w:eastAsia="仿宋"/>
      <w:spacing w:val="-8"/>
      <w:kern w:val="0"/>
      <w:sz w:val="24"/>
      <w:szCs w:val="24"/>
    </w:rPr>
  </w:style>
  <w:style w:type="paragraph" w:customStyle="1" w:styleId="31">
    <w:name w:val="批注"/>
    <w:basedOn w:val="1"/>
    <w:qFormat/>
    <w:uiPriority w:val="0"/>
    <w:pPr>
      <w:widowControl/>
      <w:spacing w:line="400" w:lineRule="exact"/>
      <w:ind w:firstLine="200" w:firstLineChars="200"/>
    </w:pPr>
    <w:rPr>
      <w:rFonts w:ascii="宋体" w:hAnsi="宋体" w:eastAsia="楷体"/>
      <w:kern w:val="0"/>
      <w:sz w:val="24"/>
    </w:rPr>
  </w:style>
  <w:style w:type="paragraph" w:customStyle="1" w:styleId="32">
    <w:name w:val="正文11"/>
    <w:basedOn w:val="26"/>
    <w:qFormat/>
    <w:uiPriority w:val="0"/>
    <w:pPr>
      <w:ind w:firstLine="200"/>
    </w:pPr>
  </w:style>
  <w:style w:type="paragraph" w:customStyle="1" w:styleId="33">
    <w:name w:val="Char1"/>
    <w:basedOn w:val="1"/>
    <w:qFormat/>
    <w:uiPriority w:val="0"/>
    <w:pPr>
      <w:widowControl/>
      <w:spacing w:after="160" w:line="240" w:lineRule="exact"/>
      <w:jc w:val="left"/>
    </w:pPr>
    <w:rPr>
      <w:rFonts w:ascii="Verdana" w:hAnsi="Verdana" w:cs="Verdana"/>
      <w:kern w:val="0"/>
      <w:sz w:val="20"/>
      <w:szCs w:val="20"/>
      <w:lang w:eastAsia="en-US"/>
    </w:rPr>
  </w:style>
  <w:style w:type="paragraph" w:customStyle="1" w:styleId="34">
    <w:name w:val="_Style 27"/>
    <w:qFormat/>
    <w:uiPriority w:val="99"/>
    <w:rPr>
      <w:rFonts w:ascii="Times New Roman" w:hAnsi="Times New Roman" w:eastAsia="宋体" w:cs="Times New Roman"/>
      <w:kern w:val="2"/>
      <w:sz w:val="21"/>
      <w:szCs w:val="22"/>
      <w:lang w:val="en-US" w:eastAsia="zh-CN" w:bidi="ar-SA"/>
    </w:rPr>
  </w:style>
  <w:style w:type="character" w:customStyle="1" w:styleId="35">
    <w:name w:val="标题 4 字符"/>
    <w:link w:val="6"/>
    <w:qFormat/>
    <w:uiPriority w:val="9"/>
    <w:rPr>
      <w:rFonts w:ascii="Calibri Light" w:hAnsi="Calibri Light" w:eastAsia="宋体"/>
      <w:b/>
      <w:bCs/>
      <w:sz w:val="32"/>
      <w:szCs w:val="28"/>
    </w:rPr>
  </w:style>
  <w:style w:type="paragraph" w:customStyle="1" w:styleId="36">
    <w:name w:val="公文"/>
    <w:basedOn w:val="1"/>
    <w:qFormat/>
    <w:uiPriority w:val="0"/>
    <w:pPr>
      <w:widowControl/>
      <w:adjustRightInd w:val="0"/>
      <w:snapToGrid w:val="0"/>
      <w:spacing w:beforeLines="25" w:afterLines="35"/>
      <w:ind w:firstLine="200" w:firstLineChars="200"/>
      <w:jc w:val="left"/>
    </w:pPr>
    <w:rPr>
      <w:rFonts w:ascii="仿宋_GB2312" w:eastAsia="仿宋_GB2312"/>
      <w:bCs/>
      <w:kern w:val="0"/>
      <w:sz w:val="32"/>
      <w:szCs w:val="24"/>
    </w:rPr>
  </w:style>
  <w:style w:type="character" w:customStyle="1" w:styleId="37">
    <w:name w:val="图表标注 Char"/>
    <w:link w:val="28"/>
    <w:qFormat/>
    <w:uiPriority w:val="0"/>
    <w:rPr>
      <w:rFonts w:ascii="楷体" w:hAnsi="楷体" w:eastAsia="楷体"/>
      <w:bCs/>
      <w:color w:val="000000"/>
      <w:sz w:val="30"/>
      <w:szCs w:val="28"/>
    </w:rPr>
  </w:style>
  <w:style w:type="character" w:customStyle="1" w:styleId="38">
    <w:name w:val="批注主题 Char"/>
    <w:semiHidden/>
    <w:qFormat/>
    <w:uiPriority w:val="99"/>
    <w:rPr>
      <w:rFonts w:eastAsia="仿宋_GB2312"/>
      <w:b/>
      <w:bCs/>
      <w:kern w:val="2"/>
      <w:sz w:val="32"/>
      <w:szCs w:val="24"/>
    </w:rPr>
  </w:style>
  <w:style w:type="character" w:customStyle="1" w:styleId="39">
    <w:name w:val="批注框文本 字符"/>
    <w:basedOn w:val="21"/>
    <w:link w:val="1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chart" Target="charts/chart3.xml"/><Relationship Id="rId12" Type="http://schemas.openxmlformats.org/officeDocument/2006/relationships/image" Target="media/image5.png"/><Relationship Id="rId11" Type="http://schemas.openxmlformats.org/officeDocument/2006/relationships/chart" Target="charts/chart2.xml"/><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019&#30333;&#30382;&#20070;\2019&#25776;&#20889;\&#21382;&#27425;&#20462;&#25913;&#31295;\&#21021;&#31295;&#30340;&#21021;&#31295;\19&#24180;&#20316;&#2227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019&#30333;&#30382;&#20070;\2019&#25776;&#20889;\&#21021;&#31295;&#30340;&#21021;&#31295;\19&#24180;&#20316;&#22270;.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6032;&#24314;%20XLSX%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[19年作图.xlsx]图一!$C$41</c:f>
              <c:strCache>
                <c:ptCount val="1"/>
                <c:pt idx="0">
                  <c:v>抽检批次</c:v>
                </c:pt>
              </c:strCache>
            </c:strRef>
          </c:tx>
          <c:spPr/>
          <c:explosion val="0"/>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Lbls>
            <c:dLbl>
              <c:idx val="0"/>
              <c:layout>
                <c:manualLayout>
                  <c:x val="0.108333333333333"/>
                  <c:y val="-0.142857142857143"/>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sz="1100"/>
                      <a:t>生产</a:t>
                    </a:r>
                    <a:r>
                      <a:rPr lang="en-US" altLang="zh-CN" sz="1100"/>
                      <a:t>, 6270</a:t>
                    </a:r>
                    <a:endParaRPr lang="en-US" altLang="zh-CN" sz="1100"/>
                  </a:p>
                </c:rich>
              </c:tx>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60416666666667"/>
                  <c:y val="0.0146520146520147"/>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sz="1100"/>
                      <a:t>流通</a:t>
                    </a:r>
                    <a:r>
                      <a:rPr lang="en-US" altLang="zh-CN" sz="1100"/>
                      <a:t>, 35944</a:t>
                    </a:r>
                    <a:endParaRPr lang="en-US" altLang="zh-CN" sz="1100"/>
                  </a:p>
                </c:rich>
              </c:tx>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1625"/>
                  <c:y val="-0.0879120879120879"/>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zh-CN" altLang="en-US" sz="1100"/>
                      <a:t>餐饮</a:t>
                    </a:r>
                    <a:r>
                      <a:rPr lang="en-US" altLang="zh-CN" sz="1100"/>
                      <a:t>, 26851</a:t>
                    </a:r>
                    <a:endParaRPr lang="en-US" altLang="zh-CN" sz="1100"/>
                  </a:p>
                </c:rich>
              </c:tx>
              <c:showLegendKey val="0"/>
              <c:showVal val="1"/>
              <c:showCatName val="1"/>
              <c:showSerName val="0"/>
              <c:showPercent val="0"/>
              <c:showBubbleSize val="0"/>
              <c:extLst>
                <c:ext xmlns:c15="http://schemas.microsoft.com/office/drawing/2012/chart" uri="{CE6537A1-D6FC-4f65-9D91-7224C49458BB}">
                  <c15:layout/>
                </c:ext>
              </c:extLst>
            </c:dLbl>
            <c:numFmt formatCode="General"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[19年作图.xlsx]图一!$B$42:$B$44</c:f>
              <c:strCache>
                <c:ptCount val="3"/>
                <c:pt idx="0">
                  <c:v>生产</c:v>
                </c:pt>
                <c:pt idx="1">
                  <c:v>流通</c:v>
                </c:pt>
                <c:pt idx="2">
                  <c:v>餐饮</c:v>
                </c:pt>
              </c:strCache>
            </c:strRef>
          </c:cat>
          <c:val>
            <c:numRef>
              <c:f>[19年作图.xlsx]图一!$C$42:$C$44</c:f>
              <c:numCache>
                <c:formatCode>General</c:formatCode>
                <c:ptCount val="3"/>
                <c:pt idx="0">
                  <c:v>6270</c:v>
                </c:pt>
                <c:pt idx="1">
                  <c:v>35944</c:v>
                </c:pt>
                <c:pt idx="2">
                  <c:v>26851</c:v>
                </c:pt>
              </c:numCache>
            </c:numRef>
          </c:val>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67841734833334"/>
          <c:y val="0.0910707626997103"/>
          <c:w val="0.862979113866683"/>
          <c:h val="0.592584052218685"/>
        </c:manualLayout>
      </c:layout>
      <c:barChart>
        <c:barDir val="col"/>
        <c:grouping val="clustered"/>
        <c:varyColors val="0"/>
        <c:ser>
          <c:idx val="0"/>
          <c:order val="0"/>
          <c:tx>
            <c:strRef>
              <c:f>[19年作图.xlsx]重点品种!$B$72</c:f>
              <c:strCache>
                <c:ptCount val="1"/>
                <c:pt idx="0">
                  <c:v>总批次</c:v>
                </c:pt>
              </c:strCache>
            </c:strRef>
          </c:tx>
          <c:spPr>
            <a:gradFill rotWithShape="1">
              <a:gsLst>
                <a:gs pos="0">
                  <a:srgbClr val="688FC5">
                    <a:satMod val="103000"/>
                    <a:lumMod val="102000"/>
                    <a:tint val="94000"/>
                  </a:srgbClr>
                </a:gs>
                <a:gs pos="50000">
                  <a:srgbClr val="4A81C3">
                    <a:satMod val="110000"/>
                    <a:lumMod val="100000"/>
                    <a:shade val="100000"/>
                  </a:srgbClr>
                </a:gs>
                <a:gs pos="100000">
                  <a:srgbClr val="3A71B2">
                    <a:lumMod val="99000"/>
                    <a:satMod val="120000"/>
                    <a:shade val="78000"/>
                  </a:srgb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[19年作图.xlsx]重点品种!$A$73:$A$80</c:f>
              <c:strCache>
                <c:ptCount val="8"/>
                <c:pt idx="0">
                  <c:v>大米</c:v>
                </c:pt>
                <c:pt idx="1">
                  <c:v>大米制品</c:v>
                </c:pt>
                <c:pt idx="2">
                  <c:v>小麦粉</c:v>
                </c:pt>
                <c:pt idx="3">
                  <c:v>生湿面</c:v>
                </c:pt>
                <c:pt idx="4">
                  <c:v>肉制品</c:v>
                </c:pt>
                <c:pt idx="5">
                  <c:v>食用植物油</c:v>
                </c:pt>
                <c:pt idx="6">
                  <c:v>灭菌乳、调制乳</c:v>
                </c:pt>
                <c:pt idx="7">
                  <c:v>乳粉、发酵乳、巴氏杀菌乳</c:v>
                </c:pt>
              </c:strCache>
            </c:strRef>
          </c:cat>
          <c:val>
            <c:numRef>
              <c:f>[19年作图.xlsx]重点品种!$B$73:$B$80</c:f>
              <c:numCache>
                <c:formatCode>General</c:formatCode>
                <c:ptCount val="8"/>
                <c:pt idx="0">
                  <c:v>5329</c:v>
                </c:pt>
                <c:pt idx="1">
                  <c:v>2073</c:v>
                </c:pt>
                <c:pt idx="2">
                  <c:v>1270</c:v>
                </c:pt>
                <c:pt idx="3">
                  <c:v>290</c:v>
                </c:pt>
                <c:pt idx="4">
                  <c:v>1093</c:v>
                </c:pt>
                <c:pt idx="5">
                  <c:v>1497</c:v>
                </c:pt>
                <c:pt idx="6">
                  <c:v>337</c:v>
                </c:pt>
                <c:pt idx="7">
                  <c:v>320</c:v>
                </c:pt>
              </c:numCache>
            </c:numRef>
          </c:val>
        </c:ser>
        <c:dLbls>
          <c:showLegendKey val="0"/>
          <c:showVal val="0"/>
          <c:showCatName val="0"/>
          <c:showSerName val="0"/>
          <c:showPercent val="0"/>
          <c:showBubbleSize val="0"/>
        </c:dLbls>
        <c:gapWidth val="219"/>
        <c:overlap val="-27"/>
        <c:axId val="688355776"/>
        <c:axId val="693413072"/>
      </c:barChart>
      <c:lineChart>
        <c:grouping val="standard"/>
        <c:varyColors val="0"/>
        <c:ser>
          <c:idx val="1"/>
          <c:order val="1"/>
          <c:tx>
            <c:strRef>
              <c:f>[19年作图.xlsx]重点品种!$C$72</c:f>
              <c:strCache>
                <c:ptCount val="1"/>
                <c:pt idx="0">
                  <c:v>问题发现率</c:v>
                </c:pt>
              </c:strCache>
            </c:strRef>
          </c:tx>
          <c:spPr>
            <a:ln w="34925" cap="rnd">
              <a:solidFill>
                <a:srgbClr val="FF0000"/>
              </a:solidFill>
              <a:round/>
            </a:ln>
            <a:effectLst>
              <a:outerShdw blurRad="57150" dist="19050" dir="5400000" algn="ctr" rotWithShape="0">
                <a:srgbClr val="000000">
                  <a:alpha val="63000"/>
                </a:srgbClr>
              </a:outerShdw>
            </a:effectLst>
          </c:spPr>
          <c:marker>
            <c:symbol val="circle"/>
            <c:size val="6"/>
            <c:spPr>
              <a:solidFill>
                <a:srgbClr val="FF0000"/>
              </a:solidFill>
              <a:ln w="9525">
                <a:solidFill>
                  <a:srgbClr val="C0504D"/>
                </a:solidFill>
                <a:round/>
              </a:ln>
              <a:effectLst>
                <a:outerShdw blurRad="57150" dist="19050" dir="5400000" algn="ctr" rotWithShape="0">
                  <a:srgbClr val="000000">
                    <a:alpha val="63000"/>
                  </a:srgbClr>
                </a:outerShdw>
              </a:effectLst>
            </c:spPr>
          </c:marker>
          <c:dLbls>
            <c:dLbl>
              <c:idx val="0"/>
              <c:layout>
                <c:manualLayout>
                  <c:x val="-0.00176017589562463"/>
                  <c:y val="-0.036804679384347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176017589562462"/>
                  <c:y val="-0.040150559328379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23212312693723"/>
                  <c:y val="-0.026767039552252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528052768687379"/>
                  <c:y val="-0.020075279664189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delete val="1"/>
            </c:dLbl>
            <c:dLbl>
              <c:idx val="7"/>
              <c:layout>
                <c:manualLayout>
                  <c:x val="-0.0193619348518708"/>
                  <c:y val="-0.056879959048537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rgbClr val="404040">
                        <a:lumMod val="75000"/>
                        <a:lumOff val="25000"/>
                      </a:srgb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[19年作图.xlsx]重点品种!$A$73:$A$80</c:f>
              <c:strCache>
                <c:ptCount val="8"/>
                <c:pt idx="0">
                  <c:v>大米</c:v>
                </c:pt>
                <c:pt idx="1">
                  <c:v>大米制品</c:v>
                </c:pt>
                <c:pt idx="2">
                  <c:v>小麦粉</c:v>
                </c:pt>
                <c:pt idx="3">
                  <c:v>生湿面</c:v>
                </c:pt>
                <c:pt idx="4">
                  <c:v>肉制品</c:v>
                </c:pt>
                <c:pt idx="5">
                  <c:v>食用植物油</c:v>
                </c:pt>
                <c:pt idx="6">
                  <c:v>灭菌乳、调制乳</c:v>
                </c:pt>
                <c:pt idx="7">
                  <c:v>乳粉、发酵乳、巴氏杀菌乳</c:v>
                </c:pt>
              </c:strCache>
            </c:strRef>
          </c:cat>
          <c:val>
            <c:numRef>
              <c:f>[19年作图.xlsx]重点品种!$C$73:$C$80</c:f>
              <c:numCache>
                <c:formatCode>0.00%</c:formatCode>
                <c:ptCount val="8"/>
                <c:pt idx="0">
                  <c:v>0.00262713454681929</c:v>
                </c:pt>
                <c:pt idx="1">
                  <c:v>0.00241196333815726</c:v>
                </c:pt>
                <c:pt idx="2">
                  <c:v>0.00236220472440945</c:v>
                </c:pt>
                <c:pt idx="3">
                  <c:v>0.0241379310344828</c:v>
                </c:pt>
                <c:pt idx="4">
                  <c:v>0.0128087831655993</c:v>
                </c:pt>
                <c:pt idx="5">
                  <c:v>0.00198807157057654</c:v>
                </c:pt>
                <c:pt idx="6">
                  <c:v>0</c:v>
                </c:pt>
                <c:pt idx="7">
                  <c:v>0.003125</c:v>
                </c:pt>
              </c:numCache>
            </c:numRef>
          </c:val>
          <c:smooth val="0"/>
        </c:ser>
        <c:dLbls>
          <c:showLegendKey val="0"/>
          <c:showVal val="0"/>
          <c:showCatName val="0"/>
          <c:showSerName val="0"/>
          <c:showPercent val="0"/>
          <c:showBubbleSize val="0"/>
        </c:dLbls>
        <c:marker val="1"/>
        <c:smooth val="0"/>
        <c:axId val="856626912"/>
        <c:axId val="856626584"/>
      </c:lineChart>
      <c:catAx>
        <c:axId val="688355776"/>
        <c:scaling>
          <c:orientation val="minMax"/>
        </c:scaling>
        <c:delete val="0"/>
        <c:axPos val="b"/>
        <c:numFmt formatCode="General" sourceLinked="1"/>
        <c:majorTickMark val="none"/>
        <c:minorTickMark val="none"/>
        <c:tickLblPos val="nextTo"/>
        <c:spPr>
          <a:noFill/>
          <a:ln w="12700" cap="flat" cmpd="sng" algn="ctr">
            <a:solidFill>
              <a:srgbClr val="D9D9D9">
                <a:lumMod val="15000"/>
                <a:lumOff val="85000"/>
              </a:srgbClr>
            </a:solidFill>
            <a:round/>
          </a:ln>
          <a:effectLst/>
        </c:spPr>
        <c:txPr>
          <a:bodyPr rot="-6000000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693413072"/>
        <c:crosses val="autoZero"/>
        <c:auto val="1"/>
        <c:lblAlgn val="ctr"/>
        <c:lblOffset val="100"/>
        <c:noMultiLvlLbl val="0"/>
      </c:catAx>
      <c:valAx>
        <c:axId val="693413072"/>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688355776"/>
        <c:crosses val="autoZero"/>
        <c:crossBetween val="between"/>
      </c:valAx>
      <c:catAx>
        <c:axId val="856626912"/>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856626584"/>
        <c:crosses val="autoZero"/>
        <c:auto val="1"/>
        <c:lblAlgn val="ctr"/>
        <c:lblOffset val="100"/>
        <c:noMultiLvlLbl val="0"/>
      </c:catAx>
      <c:valAx>
        <c:axId val="856626584"/>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856626912"/>
        <c:crosses val="max"/>
        <c:crossBetween val="between"/>
      </c:valAx>
      <c:dTable>
        <c:showHorzBorder val="1"/>
        <c:showVertBorder val="1"/>
        <c:showOutline val="1"/>
        <c:showKeys val="1"/>
        <c:spPr>
          <a:noFill/>
          <a:ln w="9525" cap="flat" cmpd="sng" algn="ctr">
            <a:solidFill>
              <a:srgbClr val="D9D9D9">
                <a:lumMod val="15000"/>
                <a:lumOff val="85000"/>
              </a:srgbClr>
            </a:solidFill>
            <a:round/>
          </a:ln>
          <a:effectLst/>
        </c:spPr>
        <c:txPr>
          <a:bodyPr rot="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dTable>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'[新建 XLSX 工作表.xlsx]Sheet1'!$A$10:$B$10</c:f>
              <c:strCache>
                <c:ptCount val="1"/>
                <c:pt idx="0">
                  <c:v>重点业态 抽检批次</c:v>
                </c:pt>
              </c:strCache>
            </c:strRef>
          </c:tx>
          <c:spPr>
            <a:solidFill>
              <a:schemeClr val="accent1"/>
            </a:solidFill>
            <a:ln>
              <a:noFill/>
            </a:ln>
            <a:effectLst/>
          </c:spPr>
          <c:invertIfNegative val="0"/>
          <c:dLbls>
            <c:delete val="1"/>
          </c:dLbls>
          <c:cat>
            <c:strRef>
              <c:f>'[新建 XLSX 工作表.xlsx]Sheet1'!$C$9:$F$9</c:f>
              <c:strCache>
                <c:ptCount val="4"/>
                <c:pt idx="0">
                  <c:v>生产</c:v>
                </c:pt>
                <c:pt idx="1">
                  <c:v>流通</c:v>
                </c:pt>
                <c:pt idx="2">
                  <c:v>餐饮</c:v>
                </c:pt>
                <c:pt idx="3">
                  <c:v>合计</c:v>
                </c:pt>
              </c:strCache>
            </c:strRef>
          </c:cat>
          <c:val>
            <c:numRef>
              <c:f>'[新建 XLSX 工作表.xlsx]Sheet1'!$C$10:$F$10</c:f>
              <c:numCache>
                <c:formatCode>General</c:formatCode>
                <c:ptCount val="4"/>
                <c:pt idx="0">
                  <c:v>3377</c:v>
                </c:pt>
                <c:pt idx="1">
                  <c:v>10864</c:v>
                </c:pt>
                <c:pt idx="2">
                  <c:v>11602</c:v>
                </c:pt>
                <c:pt idx="3">
                  <c:v>25843</c:v>
                </c:pt>
              </c:numCache>
            </c:numRef>
          </c:val>
        </c:ser>
        <c:ser>
          <c:idx val="2"/>
          <c:order val="2"/>
          <c:tx>
            <c:strRef>
              <c:f>'[新建 XLSX 工作表.xlsx]Sheet1'!$A$12:$B$12</c:f>
              <c:strCache>
                <c:ptCount val="1"/>
                <c:pt idx="0">
                  <c:v>其他业态 抽检批次</c:v>
                </c:pt>
              </c:strCache>
            </c:strRef>
          </c:tx>
          <c:spPr>
            <a:solidFill>
              <a:schemeClr val="accent3"/>
            </a:solidFill>
            <a:ln>
              <a:noFill/>
            </a:ln>
            <a:effectLst/>
          </c:spPr>
          <c:invertIfNegative val="0"/>
          <c:dLbls>
            <c:delete val="1"/>
          </c:dLbls>
          <c:cat>
            <c:strRef>
              <c:f>'[新建 XLSX 工作表.xlsx]Sheet1'!$C$9:$F$9</c:f>
              <c:strCache>
                <c:ptCount val="4"/>
                <c:pt idx="0">
                  <c:v>生产</c:v>
                </c:pt>
                <c:pt idx="1">
                  <c:v>流通</c:v>
                </c:pt>
                <c:pt idx="2">
                  <c:v>餐饮</c:v>
                </c:pt>
                <c:pt idx="3">
                  <c:v>合计</c:v>
                </c:pt>
              </c:strCache>
            </c:strRef>
          </c:cat>
          <c:val>
            <c:numRef>
              <c:f>'[新建 XLSX 工作表.xlsx]Sheet1'!$C$12:$F$12</c:f>
              <c:numCache>
                <c:formatCode>General</c:formatCode>
                <c:ptCount val="4"/>
                <c:pt idx="0">
                  <c:v>0</c:v>
                </c:pt>
                <c:pt idx="1">
                  <c:v>3536</c:v>
                </c:pt>
                <c:pt idx="2">
                  <c:v>7008</c:v>
                </c:pt>
                <c:pt idx="3">
                  <c:v>10544</c:v>
                </c:pt>
              </c:numCache>
            </c:numRef>
          </c:val>
        </c:ser>
        <c:dLbls>
          <c:showLegendKey val="0"/>
          <c:showVal val="0"/>
          <c:showCatName val="0"/>
          <c:showSerName val="0"/>
          <c:showPercent val="0"/>
          <c:showBubbleSize val="0"/>
        </c:dLbls>
        <c:gapWidth val="219"/>
        <c:overlap val="-27"/>
        <c:axId val="308435520"/>
        <c:axId val="547489853"/>
      </c:barChart>
      <c:lineChart>
        <c:grouping val="standard"/>
        <c:varyColors val="0"/>
        <c:ser>
          <c:idx val="1"/>
          <c:order val="1"/>
          <c:tx>
            <c:strRef>
              <c:f>'[新建 XLSX 工作表.xlsx]Sheet1'!$A$11:$B$11</c:f>
              <c:strCache>
                <c:ptCount val="1"/>
                <c:pt idx="0">
                  <c:v>重点业态 问题发现率（%）</c:v>
                </c:pt>
              </c:strCache>
            </c:strRef>
          </c:tx>
          <c:spPr>
            <a:ln w="28575" cap="rnd">
              <a:solidFill>
                <a:schemeClr val="accent2"/>
              </a:solidFill>
              <a:round/>
            </a:ln>
            <a:effectLst/>
          </c:spPr>
          <c:marker>
            <c:symbol val="none"/>
          </c:marker>
          <c:dLbls>
            <c:dLbl>
              <c:idx val="0"/>
              <c:layout>
                <c:manualLayout>
                  <c:x val="-0.0531025666240535"/>
                  <c:y val="-0.0628272251308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18005703609008"/>
                  <c:y val="0.078534031413612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590028518045039"/>
                  <c:y val="-0.070680628272251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06509981315764"/>
                  <c:y val="-0.044502617801047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chemeClr val="accent2">
                  <a:lumMod val="40000"/>
                  <a:lumOff val="60000"/>
                </a:schemeClr>
              </a:solidFill>
              <a:ln>
                <a:noFill/>
              </a:ln>
              <a:effectLst/>
            </c:spPr>
            <c:txPr>
              <a:bodyPr rot="0" spcFirstLastPara="0"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XLSX 工作表.xlsx]Sheet1'!$C$9:$F$9</c:f>
              <c:strCache>
                <c:ptCount val="4"/>
                <c:pt idx="0">
                  <c:v>生产</c:v>
                </c:pt>
                <c:pt idx="1">
                  <c:v>流通</c:v>
                </c:pt>
                <c:pt idx="2">
                  <c:v>餐饮</c:v>
                </c:pt>
                <c:pt idx="3">
                  <c:v>合计</c:v>
                </c:pt>
              </c:strCache>
            </c:strRef>
          </c:cat>
          <c:val>
            <c:numRef>
              <c:f>'[新建 XLSX 工作表.xlsx]Sheet1'!$C$11:$F$11</c:f>
              <c:numCache>
                <c:formatCode>General</c:formatCode>
                <c:ptCount val="4"/>
                <c:pt idx="0">
                  <c:v>0.95</c:v>
                </c:pt>
                <c:pt idx="1">
                  <c:v>0.87</c:v>
                </c:pt>
                <c:pt idx="2">
                  <c:v>0.41</c:v>
                </c:pt>
                <c:pt idx="3">
                  <c:v>0.67</c:v>
                </c:pt>
              </c:numCache>
            </c:numRef>
          </c:val>
          <c:smooth val="0"/>
        </c:ser>
        <c:ser>
          <c:idx val="3"/>
          <c:order val="3"/>
          <c:tx>
            <c:strRef>
              <c:f>'[新建 XLSX 工作表.xlsx]Sheet1'!$A$13:$B$13</c:f>
              <c:strCache>
                <c:ptCount val="1"/>
                <c:pt idx="0">
                  <c:v>其他业态 问题发现率（%）</c:v>
                </c:pt>
              </c:strCache>
            </c:strRef>
          </c:tx>
          <c:spPr>
            <a:ln w="28575" cap="rnd">
              <a:solidFill>
                <a:schemeClr val="accent4"/>
              </a:solidFill>
              <a:round/>
            </a:ln>
            <a:effectLst/>
          </c:spPr>
          <c:marker>
            <c:symbol val="none"/>
          </c:marker>
          <c:dLbls>
            <c:dLbl>
              <c:idx val="1"/>
              <c:layout>
                <c:manualLayout>
                  <c:x val="-0.0413019962631527"/>
                  <c:y val="-0.073298429319371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36011407218016"/>
                  <c:y val="-0.044502617801047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14750712951126"/>
                  <c:y val="-0.036649214659685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solidFill>
                <a:schemeClr val="accent4">
                  <a:lumMod val="40000"/>
                  <a:lumOff val="60000"/>
                </a:schemeClr>
              </a:solidFill>
              <a:ln>
                <a:noFill/>
              </a:ln>
              <a:effectLst/>
            </c:spPr>
            <c:txPr>
              <a:bodyPr rot="0" spcFirstLastPara="0" vertOverflow="ellipsis" vert="horz" wrap="square" lIns="38100" tIns="19050" rIns="38100" bIns="19050" anchor="ctr" anchorCtr="1"/>
              <a:lstStyle/>
              <a:p>
                <a:pPr>
                  <a:defRPr lang="zh-CN" sz="900" b="0" i="0" u="none" strike="noStrike" kern="1200" baseline="0">
                    <a:ln>
                      <a:noFill/>
                    </a:ln>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XLSX 工作表.xlsx]Sheet1'!$C$9:$F$9</c:f>
              <c:strCache>
                <c:ptCount val="4"/>
                <c:pt idx="0">
                  <c:v>生产</c:v>
                </c:pt>
                <c:pt idx="1">
                  <c:v>流通</c:v>
                </c:pt>
                <c:pt idx="2">
                  <c:v>餐饮</c:v>
                </c:pt>
                <c:pt idx="3">
                  <c:v>合计</c:v>
                </c:pt>
              </c:strCache>
            </c:strRef>
          </c:cat>
          <c:val>
            <c:numRef>
              <c:f>'[新建 XLSX 工作表.xlsx]Sheet1'!$C$13:$F$13</c:f>
              <c:numCache>
                <c:formatCode>General</c:formatCode>
                <c:ptCount val="4"/>
                <c:pt idx="0">
                  <c:v>0</c:v>
                </c:pt>
                <c:pt idx="1">
                  <c:v>0.93</c:v>
                </c:pt>
                <c:pt idx="2">
                  <c:v>1.76</c:v>
                </c:pt>
                <c:pt idx="3">
                  <c:v>1.48</c:v>
                </c:pt>
              </c:numCache>
            </c:numRef>
          </c:val>
          <c:smooth val="0"/>
        </c:ser>
        <c:dLbls>
          <c:showLegendKey val="0"/>
          <c:showVal val="1"/>
          <c:showCatName val="0"/>
          <c:showSerName val="0"/>
          <c:showPercent val="0"/>
          <c:showBubbleSize val="0"/>
        </c:dLbls>
        <c:marker val="0"/>
        <c:smooth val="0"/>
        <c:axId val="612064415"/>
        <c:axId val="440132528"/>
      </c:lineChart>
      <c:catAx>
        <c:axId val="3084355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547489853"/>
        <c:crosses val="autoZero"/>
        <c:auto val="1"/>
        <c:lblAlgn val="ctr"/>
        <c:lblOffset val="100"/>
        <c:noMultiLvlLbl val="0"/>
      </c:catAx>
      <c:valAx>
        <c:axId val="54748985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308435520"/>
        <c:crosses val="autoZero"/>
        <c:crossBetween val="between"/>
      </c:valAx>
      <c:catAx>
        <c:axId val="612064415"/>
        <c:scaling>
          <c:orientation val="minMax"/>
        </c:scaling>
        <c:delete val="1"/>
        <c:axPos val="b"/>
        <c:majorTickMark val="out"/>
        <c:minorTickMark val="none"/>
        <c:tickLblPos val="nextTo"/>
        <c:txPr>
          <a:bodyPr rot="-60000000" spcFirstLastPara="0"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440132528"/>
        <c:crosses val="autoZero"/>
        <c:auto val="1"/>
        <c:lblAlgn val="ctr"/>
        <c:lblOffset val="100"/>
        <c:noMultiLvlLbl val="0"/>
      </c:catAx>
      <c:valAx>
        <c:axId val="440132528"/>
        <c:scaling>
          <c:orientation val="minMax"/>
        </c:scaling>
        <c:delete val="0"/>
        <c:axPos val="r"/>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crossAx val="612064415"/>
        <c:crosses val="max"/>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legendEntry>
      <c:legendEntry>
        <c:idx val="2"/>
        <c:txPr>
          <a:bodyPr rot="0" spcFirstLastPara="0"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legendEntry>
      <c:legendEntry>
        <c:idx val="3"/>
        <c:txPr>
          <a:bodyPr rot="0" spcFirstLastPara="0"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ln>
                <a:noFill/>
              </a:ln>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ln>
            <a:noFill/>
          </a:ln>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52">
  <cs:axisTitle>
    <cs:lnRef idx="0"/>
    <cs:fillRef idx="0"/>
    <cs:effectRef idx="0"/>
    <cs:fontRef idx="minor">
      <a:srgbClr val="595959">
        <a:lumMod val="65000"/>
        <a:lumOff val="35000"/>
      </a:srgbClr>
    </cs:fontRef>
    <cs:defRPr sz="900" kern="1200"/>
  </cs:axisTitle>
  <cs:categoryAxis>
    <cs:lnRef idx="0"/>
    <cs:fillRef idx="0"/>
    <cs:effectRef idx="0"/>
    <cs:fontRef idx="minor">
      <a:srgbClr val="595959">
        <a:lumMod val="65000"/>
        <a:lumOff val="35000"/>
      </a:srgbClr>
    </cs:fontRef>
    <cs:spPr>
      <a:ln w="12700"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1F497D"/>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rgbClr val="000000"/>
    </cs:fontRef>
  </cs:dataPoint>
  <cs:dataPoint3D>
    <cs:lnRef idx="0"/>
    <cs:fillRef idx="3">
      <cs:styleClr val="auto"/>
    </cs:fillRef>
    <cs:effectRef idx="3"/>
    <cs:fontRef idx="minor">
      <a:srgbClr val="000000"/>
    </cs:fontRef>
  </cs:dataPoint3D>
  <cs:dataPointLine>
    <cs:lnRef idx="0">
      <cs:styleClr val="auto"/>
    </cs:lnRef>
    <cs:fillRef idx="3"/>
    <cs:effectRef idx="3"/>
    <cs:fontRef idx="minor">
      <a:srgbClr val="000000"/>
    </cs:fontRef>
    <cs:spPr>
      <a:ln w="34925" cap="rnd">
        <a:solidFill>
          <a:srgbClr val="FFFFFF"/>
        </a:solidFill>
        <a:round/>
      </a:ln>
    </cs:spPr>
  </cs:dataPointLine>
  <cs:dataPointMarker>
    <cs:lnRef idx="0">
      <cs:styleClr val="auto"/>
    </cs:lnRef>
    <cs:fillRef idx="3">
      <cs:styleClr val="auto"/>
    </cs:fillRef>
    <cs:effectRef idx="3"/>
    <cs:fontRef idx="minor">
      <a:srgbClr val="000000"/>
    </cs:fontRef>
    <cs:spPr>
      <a:ln w="9525">
        <a:solidFill>
          <a:srgbClr val="FFFFFF"/>
        </a:solidFill>
        <a:round/>
      </a:ln>
    </cs:spPr>
  </cs:dataPointMarker>
  <cs:dataPointMarkerLayout symbol="circle" size="6"/>
  <cs:dataPointWireframe>
    <cs:lnRef idx="0">
      <cs:styleClr val="auto"/>
    </cs:lnRef>
    <cs:fillRef idx="3"/>
    <cs:effectRef idx="3"/>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FFFFFF"/>
    </cs:fontRef>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cs:lnRef idx="0"/>
    <cs:fillRef idx="0"/>
    <cs:effectRef idx="0"/>
    <cs:fontRef idx="minor">
      <a:srgbClr val="FFFFFF"/>
    </cs:fontRef>
  </cs:plotArea>
  <cs:plotArea3D>
    <cs:lnRef idx="0"/>
    <cs:fillRef idx="0"/>
    <cs:effectRef idx="0"/>
    <cs:fontRef idx="minor">
      <a:srgbClr val="FFFFFF"/>
    </cs:fontRef>
  </cs:plotArea3D>
  <cs:seriesAxis>
    <cs:lnRef idx="0"/>
    <cs:fillRef idx="0"/>
    <cs:effectRef idx="0"/>
    <cs:fontRef idx="minor">
      <a:srgbClr val="595959">
        <a:lumMod val="65000"/>
        <a:lumOff val="35000"/>
      </a:srgbClr>
    </cs:fontRef>
    <cs:spPr>
      <a:ln w="12700" cap="flat" cmpd="sng" algn="ctr">
        <a:solidFill>
          <a:srgbClr val="D9D9D9">
            <a:lumMod val="15000"/>
            <a:lumOff val="85000"/>
          </a:srgbClr>
        </a:solidFill>
        <a:round/>
      </a:ln>
    </cs:spPr>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600" b="1" kern="1200" baseline="0"/>
  </cs:title>
  <cs:trendline>
    <cs:lnRef idx="0">
      <cs:styleClr val="auto"/>
    </cs:lnRef>
    <cs:fillRef idx="0"/>
    <cs:effectRef idx="0"/>
    <cs:fontRef idx="minor">
      <a:srgbClr val="FFFFFF"/>
    </cs:fontRef>
    <cs:spPr>
      <a:ln w="19050" cap="rnd">
        <a:solidFill>
          <a:srgbClr val="FFFFFF"/>
        </a:solidFill>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FFFFFF"/>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20F1DA-E3D5-45F9-BC8F-AE15AC909A53}">
  <ds:schemaRefs/>
</ds:datastoreItem>
</file>

<file path=docProps/app.xml><?xml version="1.0" encoding="utf-8"?>
<Properties xmlns="http://schemas.openxmlformats.org/officeDocument/2006/extended-properties" xmlns:vt="http://schemas.openxmlformats.org/officeDocument/2006/docPropsVTypes">
  <Template>Normal</Template>
  <Pages>26</Pages>
  <Words>7801</Words>
  <Characters>9050</Characters>
  <Lines>292</Lines>
  <Paragraphs>82</Paragraphs>
  <TotalTime>11</TotalTime>
  <ScaleCrop>false</ScaleCrop>
  <LinksUpToDate>false</LinksUpToDate>
  <CharactersWithSpaces>9105</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2020-06-03T05:51:00Z</dcterms:created>
  <dc:creator>Administrator</dc:creator>
  <cp:lastModifiedBy>景强</cp:lastModifiedBy>
  <cp:lastPrinted>2020-06-03T03:18:00Z</cp:lastPrinted>
  <dcterms:modified xsi:type="dcterms:W3CDTF">2020-06-18T11:56:47Z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