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宋体" w:eastAsia="黑体"/>
          <w:sz w:val="36"/>
        </w:rPr>
        <w:t>难燃建筑装饰装修材料</w:t>
      </w:r>
      <w:r>
        <w:rPr>
          <w:rFonts w:hint="eastAsia" w:ascii="黑体" w:hAnsi="黑体" w:eastAsia="黑体"/>
          <w:sz w:val="36"/>
          <w:szCs w:val="36"/>
        </w:rPr>
        <w:t>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132</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sz w:val="24"/>
        </w:rPr>
      </w:pP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1 适用范围</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本规范适用于深圳市流通领域难燃建筑装饰装修材料产品质量监督抽查。监督抽查产品范围适用于：难燃胶合板。</w:t>
      </w:r>
    </w:p>
    <w:p>
      <w:pPr>
        <w:snapToGrid w:val="0"/>
        <w:spacing w:line="360" w:lineRule="auto"/>
        <w:ind w:firstLine="627" w:firstLineChars="196"/>
        <w:rPr>
          <w:rFonts w:ascii="仿宋_GB2312" w:hAnsi="宋体" w:eastAsia="仿宋_GB2312"/>
          <w:sz w:val="32"/>
          <w:szCs w:val="28"/>
        </w:rPr>
      </w:pPr>
      <w:r>
        <w:rPr>
          <w:rFonts w:hint="eastAsia" w:ascii="仿宋_GB2312" w:hAnsi="宋体" w:eastAsia="仿宋_GB2312"/>
          <w:sz w:val="32"/>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2产品种类</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7"/>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917"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5353"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1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难燃建筑装饰装修材料</w:t>
            </w:r>
          </w:p>
        </w:tc>
        <w:tc>
          <w:tcPr>
            <w:tcW w:w="535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难燃胶合板</w:t>
            </w:r>
          </w:p>
        </w:tc>
      </w:tr>
    </w:tbl>
    <w:p>
      <w:pPr>
        <w:snapToGrid w:val="0"/>
        <w:spacing w:before="156" w:beforeLines="50" w:line="360" w:lineRule="auto"/>
        <w:rPr>
          <w:rFonts w:ascii="仿宋_GB2312" w:hAnsi="宋体" w:eastAsia="仿宋_GB2312"/>
          <w:b/>
          <w:sz w:val="32"/>
          <w:szCs w:val="32"/>
        </w:rPr>
      </w:pPr>
      <w:r>
        <w:rPr>
          <w:rFonts w:hint="eastAsia" w:ascii="仿宋_GB2312" w:hAnsi="宋体" w:eastAsia="仿宋_GB2312"/>
          <w:b/>
          <w:sz w:val="32"/>
          <w:szCs w:val="32"/>
        </w:rPr>
        <w:t>3 术语和定义</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难燃胶合板</w:t>
            </w:r>
          </w:p>
        </w:tc>
        <w:tc>
          <w:tcPr>
            <w:tcW w:w="6447"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sz w:val="24"/>
              </w:rPr>
              <w:t>经过</w:t>
            </w:r>
            <w:r>
              <w:rPr>
                <w:rFonts w:ascii="仿宋_GB2312" w:hAnsi="宋体" w:eastAsia="仿宋_GB2312"/>
                <w:sz w:val="24"/>
              </w:rPr>
              <w:t>阻燃处理，</w:t>
            </w:r>
            <w:r>
              <w:rPr>
                <w:rFonts w:hint="eastAsia" w:ascii="仿宋_GB2312" w:hAnsi="宋体" w:eastAsia="仿宋_GB2312"/>
                <w:sz w:val="24"/>
              </w:rPr>
              <w:t>燃烧性能</w:t>
            </w:r>
            <w:r>
              <w:rPr>
                <w:rFonts w:ascii="仿宋_GB2312" w:hAnsi="宋体" w:eastAsia="仿宋_GB2312"/>
                <w:sz w:val="24"/>
              </w:rPr>
              <w:t>达到难燃等级的胶合板。</w:t>
            </w:r>
          </w:p>
        </w:tc>
      </w:tr>
    </w:tbl>
    <w:p>
      <w:pPr>
        <w:snapToGrid w:val="0"/>
        <w:spacing w:before="156" w:beforeLines="50" w:line="360" w:lineRule="auto"/>
        <w:rPr>
          <w:rFonts w:hint="eastAsia" w:ascii="仿宋_GB2312" w:hAnsi="宋体" w:eastAsia="仿宋_GB2312"/>
          <w:b/>
          <w:sz w:val="32"/>
          <w:szCs w:val="32"/>
        </w:rPr>
      </w:pPr>
    </w:p>
    <w:p>
      <w:pPr>
        <w:snapToGrid w:val="0"/>
        <w:spacing w:before="156" w:beforeLines="50" w:line="360" w:lineRule="auto"/>
        <w:rPr>
          <w:rFonts w:ascii="仿宋_GB2312" w:hAnsi="宋体" w:eastAsia="仿宋_GB2312"/>
          <w:b/>
          <w:sz w:val="32"/>
          <w:szCs w:val="32"/>
        </w:rPr>
      </w:pPr>
      <w:r>
        <w:rPr>
          <w:rFonts w:hint="eastAsia" w:ascii="仿宋_GB2312" w:hAnsi="宋体" w:eastAsia="仿宋_GB2312"/>
          <w:b/>
          <w:sz w:val="32"/>
          <w:szCs w:val="32"/>
        </w:rPr>
        <w:t>4 检验依据</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4065"/>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noWrap w:val="0"/>
            <w:vAlign w:val="center"/>
          </w:tcPr>
          <w:p>
            <w:pPr>
              <w:spacing w:before="50"/>
              <w:jc w:val="center"/>
              <w:rPr>
                <w:rFonts w:ascii="黑体" w:hAnsi="宋体" w:eastAsia="黑体"/>
                <w:sz w:val="24"/>
              </w:rPr>
            </w:pPr>
            <w:r>
              <w:rPr>
                <w:rFonts w:hint="eastAsia" w:ascii="黑体" w:hAnsi="宋体" w:eastAsia="黑体"/>
                <w:sz w:val="24"/>
              </w:rPr>
              <w:t>标准号</w:t>
            </w:r>
          </w:p>
        </w:tc>
        <w:tc>
          <w:tcPr>
            <w:tcW w:w="4065" w:type="dxa"/>
            <w:noWrap w:val="0"/>
            <w:vAlign w:val="center"/>
          </w:tcPr>
          <w:p>
            <w:pPr>
              <w:spacing w:before="50"/>
              <w:jc w:val="center"/>
              <w:rPr>
                <w:rFonts w:ascii="黑体" w:hAnsi="宋体" w:eastAsia="黑体"/>
                <w:sz w:val="24"/>
              </w:rPr>
            </w:pPr>
            <w:r>
              <w:rPr>
                <w:rFonts w:hint="eastAsia" w:ascii="黑体" w:hAnsi="宋体" w:eastAsia="黑体"/>
                <w:sz w:val="24"/>
              </w:rPr>
              <w:t>标准名称</w:t>
            </w:r>
          </w:p>
        </w:tc>
        <w:tc>
          <w:tcPr>
            <w:tcW w:w="2526" w:type="dxa"/>
            <w:noWrap w:val="0"/>
            <w:vAlign w:val="center"/>
          </w:tcPr>
          <w:p>
            <w:pPr>
              <w:spacing w:before="50"/>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GB8624-2012</w:t>
            </w:r>
          </w:p>
        </w:tc>
        <w:tc>
          <w:tcPr>
            <w:tcW w:w="4065"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《建筑材料及制品燃烧性能分级》</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noWrap w:val="0"/>
            <w:vAlign w:val="center"/>
          </w:tcPr>
          <w:p>
            <w:pPr>
              <w:autoSpaceDE w:val="0"/>
              <w:autoSpaceDN w:val="0"/>
              <w:adjustRightInd w:val="0"/>
              <w:jc w:val="center"/>
              <w:rPr>
                <w:rFonts w:ascii="仿宋_GB2312" w:hAnsi="宋体" w:eastAsia="仿宋_GB2312"/>
                <w:sz w:val="24"/>
              </w:rPr>
            </w:pPr>
            <w:r>
              <w:rPr>
                <w:rFonts w:ascii="仿宋_GB2312" w:hAnsi="宋体" w:eastAsia="仿宋_GB2312"/>
                <w:sz w:val="24"/>
              </w:rPr>
              <w:t>GB 20286-2006</w:t>
            </w:r>
          </w:p>
        </w:tc>
        <w:tc>
          <w:tcPr>
            <w:tcW w:w="4065"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《公共场所阻燃制品及组件燃烧性能要求和标识》</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noWrap w:val="0"/>
            <w:vAlign w:val="center"/>
          </w:tcPr>
          <w:p>
            <w:pPr>
              <w:autoSpaceDE w:val="0"/>
              <w:autoSpaceDN w:val="0"/>
              <w:adjustRightInd w:val="0"/>
              <w:jc w:val="center"/>
              <w:rPr>
                <w:rFonts w:ascii="仿宋_GB2312" w:hAnsi="宋体" w:eastAsia="仿宋_GB2312"/>
                <w:sz w:val="24"/>
              </w:rPr>
            </w:pPr>
            <w:r>
              <w:rPr>
                <w:rFonts w:ascii="仿宋_GB2312" w:hAnsi="Calibri" w:eastAsia="仿宋_GB2312"/>
                <w:sz w:val="24"/>
              </w:rPr>
              <w:t>GB</w:t>
            </w:r>
            <w:r>
              <w:rPr>
                <w:rFonts w:hint="eastAsia" w:ascii="仿宋_GB2312" w:hAnsi="Calibri" w:eastAsia="仿宋_GB2312"/>
                <w:sz w:val="24"/>
              </w:rPr>
              <w:t>/T</w:t>
            </w:r>
            <w:r>
              <w:rPr>
                <w:rFonts w:ascii="仿宋_GB2312" w:hAnsi="Calibri" w:eastAsia="仿宋_GB2312"/>
                <w:sz w:val="24"/>
              </w:rPr>
              <w:t xml:space="preserve"> 18101-2013</w:t>
            </w:r>
          </w:p>
        </w:tc>
        <w:tc>
          <w:tcPr>
            <w:tcW w:w="406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《难燃胶合板》</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noWrap w:val="0"/>
            <w:vAlign w:val="center"/>
          </w:tcPr>
          <w:p>
            <w:pPr>
              <w:autoSpaceDE w:val="0"/>
              <w:autoSpaceDN w:val="0"/>
              <w:adjustRightInd w:val="0"/>
              <w:jc w:val="center"/>
              <w:rPr>
                <w:rFonts w:ascii="仿宋_GB2312" w:hAnsi="Calibri" w:eastAsia="仿宋_GB2312"/>
                <w:sz w:val="24"/>
              </w:rPr>
            </w:pPr>
            <w:r>
              <w:rPr>
                <w:rFonts w:hint="eastAsia" w:ascii="仿宋_GB2312" w:hAnsi="Calibri" w:eastAsia="仿宋_GB2312"/>
                <w:sz w:val="24"/>
              </w:rPr>
              <w:t>GB 18580-2017</w:t>
            </w:r>
          </w:p>
        </w:tc>
        <w:tc>
          <w:tcPr>
            <w:tcW w:w="406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室内装饰装修材料人造板及其制品中甲醛释放限量</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相关产品强制性标准、行业标准、政府法规及产品的明示标准和明示担保内容。</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 抽样</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5.1 抽样型号或规格</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抽取样品须为同一型号规格，同一批次的产品。</w:t>
      </w:r>
    </w:p>
    <w:p>
      <w:pPr>
        <w:snapToGrid w:val="0"/>
        <w:spacing w:line="360" w:lineRule="auto"/>
        <w:rPr>
          <w:rFonts w:ascii="仿宋_GB2312" w:hAnsi="宋体" w:eastAsia="仿宋_GB2312"/>
          <w:b/>
          <w:sz w:val="32"/>
          <w:szCs w:val="32"/>
        </w:rPr>
      </w:pPr>
      <w:r>
        <w:rPr>
          <w:rFonts w:hint="eastAsia" w:ascii="仿宋_GB2312" w:hAnsi="仿宋" w:eastAsia="仿宋_GB2312"/>
          <w:b/>
          <w:sz w:val="32"/>
          <w:szCs w:val="32"/>
        </w:rPr>
        <w:t xml:space="preserve">5.2 </w:t>
      </w:r>
      <w:r>
        <w:rPr>
          <w:rFonts w:hint="eastAsia" w:ascii="仿宋_GB2312" w:hAnsi="宋体" w:eastAsia="仿宋_GB2312"/>
          <w:b/>
          <w:sz w:val="32"/>
          <w:szCs w:val="32"/>
        </w:rPr>
        <w:t>取样方式</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生产领域：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流通领域：本次抽样采取在流通领域实体店以及网络交易平台两种方式获得样品。</w:t>
      </w:r>
    </w:p>
    <w:p>
      <w:pPr>
        <w:snapToGrid w:val="0"/>
        <w:spacing w:line="360" w:lineRule="auto"/>
        <w:rPr>
          <w:rFonts w:ascii="仿宋_GB2312" w:hAnsi="宋体" w:eastAsia="仿宋_GB2312"/>
          <w:sz w:val="32"/>
          <w:szCs w:val="32"/>
        </w:rPr>
      </w:pPr>
      <w:r>
        <w:rPr>
          <w:rFonts w:hint="eastAsia" w:ascii="仿宋_GB2312" w:hAnsi="宋体" w:eastAsia="仿宋_GB2312"/>
          <w:sz w:val="32"/>
          <w:szCs w:val="32"/>
        </w:rPr>
        <w:t>（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rPr>
          <w:rFonts w:ascii="仿宋_GB2312" w:hAnsi="宋体" w:eastAsia="仿宋_GB2312"/>
          <w:sz w:val="32"/>
          <w:szCs w:val="32"/>
        </w:rPr>
      </w:pPr>
      <w:r>
        <w:rPr>
          <w:rFonts w:hint="eastAsia" w:ascii="仿宋_GB2312" w:hAnsi="宋体" w:eastAsia="仿宋_GB2312"/>
          <w:sz w:val="32"/>
          <w:szCs w:val="32"/>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360" w:lineRule="auto"/>
        <w:jc w:val="left"/>
        <w:rPr>
          <w:rFonts w:ascii="仿宋_GB2312" w:hAnsi="宋体" w:eastAsia="仿宋_GB2312"/>
          <w:sz w:val="32"/>
          <w:szCs w:val="32"/>
        </w:rPr>
      </w:pPr>
      <w:r>
        <w:rPr>
          <w:rFonts w:hint="eastAsia" w:ascii="仿宋_GB2312" w:hAnsi="宋体" w:eastAsia="仿宋_GB2312"/>
          <w:b/>
          <w:sz w:val="32"/>
          <w:szCs w:val="32"/>
        </w:rPr>
        <w:t>5.3 抽样基数</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在市场上抽样时，抽样基数应不少于抽取样品量。</w:t>
      </w:r>
    </w:p>
    <w:p>
      <w:pPr>
        <w:tabs>
          <w:tab w:val="left" w:pos="2344"/>
        </w:tabs>
        <w:snapToGrid w:val="0"/>
        <w:spacing w:line="360" w:lineRule="auto"/>
        <w:rPr>
          <w:rFonts w:ascii="仿宋_GB2312" w:hAnsi="宋体" w:eastAsia="仿宋_GB2312"/>
          <w:b/>
          <w:sz w:val="32"/>
          <w:szCs w:val="32"/>
        </w:rPr>
      </w:pPr>
      <w:r>
        <w:rPr>
          <w:rFonts w:hint="eastAsia" w:ascii="仿宋_GB2312" w:hAnsi="宋体" w:eastAsia="仿宋_GB2312"/>
          <w:b/>
          <w:sz w:val="32"/>
          <w:szCs w:val="32"/>
        </w:rPr>
        <w:t>5.4 抽样数量</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4"/>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2507" w:type="dxa"/>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难燃胶合板</w:t>
            </w:r>
          </w:p>
        </w:tc>
        <w:tc>
          <w:tcPr>
            <w:tcW w:w="3402" w:type="dxa"/>
            <w:noWrap w:val="0"/>
            <w:vAlign w:val="center"/>
          </w:tcPr>
          <w:p>
            <w:pPr>
              <w:pStyle w:val="7"/>
              <w:spacing w:before="78" w:after="109"/>
              <w:ind w:firstLine="0" w:firstLineChars="0"/>
              <w:jc w:val="center"/>
              <w:rPr>
                <w:rFonts w:hAnsi="宋体" w:cs="宋体"/>
                <w:bCs w:val="0"/>
                <w:kern w:val="2"/>
                <w:sz w:val="24"/>
              </w:rPr>
            </w:pPr>
            <w:r>
              <w:rPr>
                <w:rFonts w:hint="eastAsia" w:hAnsi="宋体" w:cs="宋体"/>
                <w:bCs w:val="0"/>
                <w:kern w:val="2"/>
                <w:sz w:val="24"/>
              </w:rPr>
              <w:t>14</w:t>
            </w:r>
            <w:r>
              <w:rPr>
                <w:rFonts w:hint="eastAsia" w:hAnsi="宋体" w:eastAsia="宋体" w:cs="宋体"/>
                <w:bCs w:val="0"/>
                <w:kern w:val="2"/>
                <w:sz w:val="24"/>
              </w:rPr>
              <w:t>㎡</w:t>
            </w:r>
          </w:p>
        </w:tc>
        <w:tc>
          <w:tcPr>
            <w:tcW w:w="3198" w:type="dxa"/>
            <w:noWrap w:val="0"/>
            <w:vAlign w:val="center"/>
          </w:tcPr>
          <w:p>
            <w:pPr>
              <w:pStyle w:val="7"/>
              <w:spacing w:before="78" w:after="109"/>
              <w:ind w:firstLine="0" w:firstLineChars="0"/>
              <w:jc w:val="center"/>
              <w:rPr>
                <w:rFonts w:hAnsi="宋体"/>
                <w:bCs w:val="0"/>
                <w:kern w:val="2"/>
                <w:sz w:val="24"/>
              </w:rPr>
            </w:pPr>
            <w:r>
              <w:rPr>
                <w:rFonts w:hint="eastAsia" w:hAnsi="宋体" w:cs="宋体"/>
                <w:bCs w:val="0"/>
                <w:kern w:val="2"/>
                <w:sz w:val="24"/>
              </w:rPr>
              <w:t>14</w:t>
            </w:r>
            <w:r>
              <w:rPr>
                <w:rFonts w:hint="eastAsia" w:hAnsi="宋体" w:eastAsia="宋体" w:cs="宋体"/>
                <w:bCs w:val="0"/>
                <w:kern w:val="2"/>
                <w:sz w:val="24"/>
              </w:rPr>
              <w:t>㎡</w:t>
            </w:r>
          </w:p>
        </w:tc>
      </w:tr>
    </w:tbl>
    <w:p>
      <w:pPr>
        <w:snapToGrid w:val="0"/>
        <w:spacing w:line="360" w:lineRule="auto"/>
        <w:rPr>
          <w:rFonts w:ascii="仿宋_GB2312" w:hAnsi="宋体" w:eastAsia="仿宋_GB2312"/>
          <w:sz w:val="32"/>
          <w:szCs w:val="32"/>
        </w:rPr>
      </w:pPr>
      <w:r>
        <w:rPr>
          <w:rFonts w:hint="eastAsia" w:ascii="仿宋_GB2312" w:hAnsi="宋体" w:eastAsia="仿宋_GB2312"/>
          <w:sz w:val="32"/>
          <w:szCs w:val="32"/>
        </w:rPr>
        <w:t>生产领域及流通领域抽样，检验样品和备用样品均带回承检单位。</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5.5 样品处置</w:t>
      </w:r>
    </w:p>
    <w:p>
      <w:pPr>
        <w:spacing w:line="360" w:lineRule="auto"/>
        <w:rPr>
          <w:rFonts w:ascii="仿宋_GB2312" w:hAnsi="宋体" w:eastAsia="仿宋_GB2312"/>
          <w:sz w:val="32"/>
          <w:szCs w:val="32"/>
        </w:rPr>
      </w:pPr>
      <w:r>
        <w:rPr>
          <w:rFonts w:hint="eastAsia" w:ascii="仿宋_GB2312" w:hAnsi="ˎ̥" w:eastAsia="仿宋_GB2312"/>
          <w:b/>
          <w:sz w:val="32"/>
          <w:szCs w:val="32"/>
        </w:rPr>
        <w:t>5.5.1</w:t>
      </w:r>
      <w:r>
        <w:rPr>
          <w:rFonts w:hint="eastAsia" w:ascii="仿宋_GB2312" w:hAnsi="宋体" w:eastAsia="仿宋_GB2312"/>
          <w:sz w:val="32"/>
          <w:szCs w:val="32"/>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sz w:val="32"/>
          <w:szCs w:val="32"/>
        </w:rPr>
      </w:pPr>
      <w:r>
        <w:rPr>
          <w:rFonts w:hint="eastAsia" w:ascii="仿宋_GB2312" w:hAnsi="宋体" w:eastAsia="仿宋_GB2312"/>
          <w:b/>
          <w:sz w:val="32"/>
          <w:szCs w:val="32"/>
        </w:rPr>
        <w:t>5.5.2</w:t>
      </w:r>
      <w:r>
        <w:rPr>
          <w:rFonts w:hint="eastAsia" w:ascii="仿宋_GB2312" w:hAnsi="Calibri" w:eastAsia="仿宋_GB2312"/>
          <w:sz w:val="32"/>
          <w:szCs w:val="32"/>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32"/>
          <w:szCs w:val="32"/>
        </w:rPr>
      </w:pPr>
      <w:r>
        <w:rPr>
          <w:rFonts w:hint="eastAsia" w:ascii="仿宋_GB2312" w:hAnsi="宋体" w:eastAsia="仿宋_GB2312"/>
          <w:b/>
          <w:sz w:val="32"/>
          <w:szCs w:val="32"/>
        </w:rPr>
        <w:t>5.6 抽样单</w:t>
      </w:r>
    </w:p>
    <w:p>
      <w:pPr>
        <w:snapToGrid w:val="0"/>
        <w:spacing w:line="360" w:lineRule="auto"/>
        <w:ind w:firstLine="614" w:firstLineChars="192"/>
        <w:rPr>
          <w:rFonts w:ascii="仿宋_GB2312" w:hAnsi="Calibri" w:eastAsia="仿宋_GB2312" w:cs="Sim Sun"/>
          <w:kern w:val="0"/>
          <w:sz w:val="32"/>
          <w:szCs w:val="32"/>
        </w:rPr>
      </w:pPr>
      <w:r>
        <w:rPr>
          <w:rFonts w:hint="eastAsia" w:ascii="仿宋_GB2312" w:hAnsi="宋体" w:eastAsia="仿宋_GB2312"/>
          <w:sz w:val="32"/>
          <w:szCs w:val="32"/>
        </w:rPr>
        <w:t>应按有关规定填写抽样单，并记录被抽查产品及企业相关信息。</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 检验要求</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6.1 检验项目</w:t>
      </w:r>
    </w:p>
    <w:tbl>
      <w:tblPr>
        <w:tblStyle w:val="4"/>
        <w:tblW w:w="10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34"/>
        <w:gridCol w:w="1843"/>
        <w:gridCol w:w="2818"/>
        <w:gridCol w:w="1007"/>
        <w:gridCol w:w="2395"/>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858" w:type="dxa"/>
            <w:noWrap w:val="0"/>
            <w:vAlign w:val="center"/>
          </w:tcPr>
          <w:p>
            <w:pPr>
              <w:snapToGrid w:val="0"/>
              <w:jc w:val="center"/>
              <w:rPr>
                <w:rFonts w:ascii="仿宋_GB2312" w:hAnsi="宋体" w:eastAsia="仿宋_GB2312"/>
                <w:sz w:val="24"/>
              </w:rPr>
            </w:pPr>
            <w:r>
              <w:rPr>
                <w:rFonts w:hint="eastAsia" w:ascii="黑体" w:hAnsi="黑体" w:eastAsia="黑体"/>
                <w:sz w:val="24"/>
              </w:rPr>
              <w:t>序号</w:t>
            </w:r>
          </w:p>
        </w:tc>
        <w:tc>
          <w:tcPr>
            <w:tcW w:w="2977" w:type="dxa"/>
            <w:gridSpan w:val="2"/>
            <w:noWrap w:val="0"/>
            <w:vAlign w:val="center"/>
          </w:tcPr>
          <w:p>
            <w:pPr>
              <w:snapToGrid w:val="0"/>
              <w:jc w:val="center"/>
              <w:rPr>
                <w:rFonts w:ascii="仿宋_GB2312" w:hAnsi="宋体" w:eastAsia="仿宋_GB2312"/>
                <w:sz w:val="24"/>
              </w:rPr>
            </w:pPr>
            <w:r>
              <w:rPr>
                <w:rFonts w:hint="eastAsia" w:ascii="黑体" w:hAnsi="黑体" w:eastAsia="黑体"/>
                <w:sz w:val="24"/>
              </w:rPr>
              <w:t>检验项目</w:t>
            </w:r>
          </w:p>
        </w:tc>
        <w:tc>
          <w:tcPr>
            <w:tcW w:w="2818" w:type="dxa"/>
            <w:noWrap w:val="0"/>
            <w:vAlign w:val="center"/>
          </w:tcPr>
          <w:p>
            <w:pPr>
              <w:snapToGrid w:val="0"/>
              <w:jc w:val="center"/>
              <w:rPr>
                <w:rFonts w:ascii="仿宋_GB2312" w:hAnsi="宋体" w:eastAsia="仿宋_GB2312"/>
                <w:sz w:val="24"/>
              </w:rPr>
            </w:pPr>
            <w:r>
              <w:rPr>
                <w:rFonts w:hint="eastAsia" w:ascii="黑体" w:hAnsi="黑体" w:eastAsia="黑体"/>
                <w:sz w:val="24"/>
              </w:rPr>
              <w:t>检测依据</w:t>
            </w:r>
          </w:p>
        </w:tc>
        <w:tc>
          <w:tcPr>
            <w:tcW w:w="1007" w:type="dxa"/>
            <w:noWrap w:val="0"/>
            <w:vAlign w:val="center"/>
          </w:tcPr>
          <w:p>
            <w:pPr>
              <w:snapToGrid w:val="0"/>
              <w:jc w:val="center"/>
              <w:rPr>
                <w:rFonts w:ascii="仿宋_GB2312" w:hAnsi="宋体" w:eastAsia="仿宋_GB2312"/>
                <w:sz w:val="24"/>
              </w:rPr>
            </w:pPr>
            <w:r>
              <w:rPr>
                <w:rFonts w:hint="eastAsia" w:ascii="黑体" w:hAnsi="黑体" w:eastAsia="黑体"/>
                <w:sz w:val="24"/>
              </w:rPr>
              <w:t>项目性质</w:t>
            </w:r>
          </w:p>
        </w:tc>
        <w:tc>
          <w:tcPr>
            <w:tcW w:w="2395" w:type="dxa"/>
            <w:noWrap w:val="0"/>
            <w:vAlign w:val="center"/>
          </w:tcPr>
          <w:p>
            <w:pPr>
              <w:snapToGrid w:val="0"/>
              <w:jc w:val="center"/>
              <w:rPr>
                <w:rFonts w:ascii="仿宋_GB2312" w:hAnsi="宋体" w:eastAsia="仿宋_GB2312"/>
                <w:sz w:val="24"/>
              </w:rPr>
            </w:pPr>
            <w:r>
              <w:rPr>
                <w:rFonts w:hint="eastAsia" w:ascii="黑体" w:hAnsi="黑体" w:eastAsia="黑体"/>
                <w:sz w:val="24"/>
              </w:rPr>
              <w:t>检测方法</w:t>
            </w:r>
          </w:p>
        </w:tc>
        <w:tc>
          <w:tcPr>
            <w:tcW w:w="86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jc w:val="center"/>
              <w:rPr>
                <w:rFonts w:ascii="仿宋_GB2312" w:hAnsi="宋体" w:eastAsia="仿宋_GB2312"/>
                <w:sz w:val="24"/>
              </w:rPr>
            </w:pPr>
            <w:r>
              <w:rPr>
                <w:rFonts w:hint="eastAsia" w:ascii="仿宋_GB2312" w:hAnsi="宋体" w:eastAsia="仿宋_GB2312"/>
                <w:sz w:val="24"/>
              </w:rPr>
              <w:t>1</w:t>
            </w:r>
          </w:p>
        </w:tc>
        <w:tc>
          <w:tcPr>
            <w:tcW w:w="1134" w:type="dxa"/>
            <w:vMerge w:val="restart"/>
            <w:noWrap w:val="0"/>
            <w:vAlign w:val="center"/>
          </w:tcPr>
          <w:p>
            <w:pPr>
              <w:wordWrap w:val="0"/>
              <w:jc w:val="center"/>
              <w:rPr>
                <w:rFonts w:ascii="仿宋_GB2312" w:hAnsi="Calibri" w:eastAsia="仿宋_GB2312"/>
                <w:sz w:val="24"/>
              </w:rPr>
            </w:pPr>
            <w:r>
              <w:rPr>
                <w:rFonts w:ascii="仿宋_GB2312" w:hAnsi="Calibri" w:eastAsia="仿宋_GB2312"/>
                <w:sz w:val="24"/>
              </w:rPr>
              <w:t>燃烧性能等级</w:t>
            </w:r>
          </w:p>
        </w:tc>
        <w:tc>
          <w:tcPr>
            <w:tcW w:w="1843"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燃烧增长速率指数</w:t>
            </w:r>
          </w:p>
        </w:tc>
        <w:tc>
          <w:tcPr>
            <w:tcW w:w="2818" w:type="dxa"/>
            <w:vMerge w:val="restart"/>
            <w:noWrap w:val="0"/>
            <w:vAlign w:val="center"/>
          </w:tcPr>
          <w:p>
            <w:pPr>
              <w:wordWrap w:val="0"/>
              <w:jc w:val="center"/>
              <w:rPr>
                <w:rFonts w:ascii="仿宋_GB2312" w:hAnsi="Calibri" w:eastAsia="仿宋_GB2312"/>
                <w:sz w:val="24"/>
              </w:rPr>
            </w:pPr>
            <w:r>
              <w:rPr>
                <w:rFonts w:hint="eastAsia" w:ascii="仿宋_GB2312" w:hAnsi="Calibri" w:eastAsia="仿宋_GB2312"/>
                <w:sz w:val="24"/>
              </w:rPr>
              <w:t>GB 8624-20125.1.1</w:t>
            </w:r>
          </w:p>
          <w:p>
            <w:pPr>
              <w:wordWrap w:val="0"/>
              <w:jc w:val="center"/>
              <w:rPr>
                <w:rFonts w:ascii="仿宋_GB2312" w:hAnsi="Calibri" w:eastAsia="仿宋_GB2312"/>
                <w:sz w:val="24"/>
              </w:rPr>
            </w:pPr>
            <w:r>
              <w:rPr>
                <w:rFonts w:hint="eastAsia" w:ascii="仿宋_GB2312" w:hAnsi="Calibri" w:eastAsia="仿宋_GB2312"/>
                <w:sz w:val="24"/>
              </w:rPr>
              <w:t>GB 20286-2006 5.1</w:t>
            </w:r>
          </w:p>
          <w:p>
            <w:pPr>
              <w:wordWrap w:val="0"/>
              <w:jc w:val="center"/>
              <w:rPr>
                <w:rFonts w:ascii="仿宋_GB2312" w:hAnsi="Calibri" w:eastAsia="仿宋_GB2312"/>
                <w:sz w:val="24"/>
              </w:rPr>
            </w:pPr>
            <w:r>
              <w:rPr>
                <w:rFonts w:ascii="仿宋_GB2312" w:hAnsi="Calibri" w:eastAsia="仿宋_GB2312"/>
                <w:sz w:val="24"/>
              </w:rPr>
              <w:t>GB</w:t>
            </w:r>
            <w:r>
              <w:rPr>
                <w:rFonts w:hint="eastAsia" w:ascii="仿宋_GB2312" w:hAnsi="Calibri" w:eastAsia="仿宋_GB2312"/>
                <w:sz w:val="24"/>
              </w:rPr>
              <w:t>/T</w:t>
            </w:r>
            <w:r>
              <w:rPr>
                <w:rFonts w:ascii="仿宋_GB2312" w:hAnsi="Calibri" w:eastAsia="仿宋_GB2312"/>
                <w:sz w:val="24"/>
              </w:rPr>
              <w:t xml:space="preserve"> 18101-2013</w:t>
            </w:r>
            <w:r>
              <w:rPr>
                <w:rFonts w:hint="eastAsia" w:ascii="仿宋_GB2312" w:hAnsi="Calibri" w:eastAsia="仿宋_GB2312"/>
                <w:sz w:val="24"/>
              </w:rPr>
              <w:t xml:space="preserve"> 6.6.1</w:t>
            </w:r>
          </w:p>
        </w:tc>
        <w:tc>
          <w:tcPr>
            <w:tcW w:w="1007" w:type="dxa"/>
            <w:vMerge w:val="restart"/>
            <w:noWrap w:val="0"/>
            <w:vAlign w:val="center"/>
          </w:tcPr>
          <w:p>
            <w:pPr>
              <w:wordWrap w:val="0"/>
              <w:jc w:val="center"/>
              <w:rPr>
                <w:rFonts w:ascii="仿宋_GB2312" w:hAnsi="Calibri" w:eastAsia="仿宋_GB2312"/>
                <w:sz w:val="24"/>
              </w:rPr>
            </w:pPr>
            <w:r>
              <w:rPr>
                <w:rFonts w:hint="eastAsia" w:ascii="仿宋_GB2312" w:hAnsi="Calibri" w:eastAsia="仿宋_GB2312"/>
                <w:sz w:val="24"/>
              </w:rPr>
              <w:t>强制性</w:t>
            </w:r>
          </w:p>
        </w:tc>
        <w:tc>
          <w:tcPr>
            <w:tcW w:w="2395" w:type="dxa"/>
            <w:vMerge w:val="restart"/>
            <w:noWrap w:val="0"/>
            <w:vAlign w:val="center"/>
          </w:tcPr>
          <w:p>
            <w:pPr>
              <w:wordWrap w:val="0"/>
              <w:jc w:val="center"/>
              <w:rPr>
                <w:rFonts w:ascii="仿宋_GB2312" w:hAnsi="Calibri" w:eastAsia="仿宋_GB2312"/>
                <w:sz w:val="24"/>
              </w:rPr>
            </w:pPr>
            <w:r>
              <w:rPr>
                <w:rFonts w:hint="eastAsia" w:ascii="仿宋_GB2312" w:hAnsi="Calibri" w:eastAsia="仿宋_GB2312"/>
                <w:sz w:val="24"/>
              </w:rPr>
              <w:t>GB/T 20284-2006</w:t>
            </w:r>
          </w:p>
          <w:p>
            <w:pPr>
              <w:wordWrap w:val="0"/>
              <w:jc w:val="center"/>
              <w:rPr>
                <w:rFonts w:ascii="仿宋_GB2312" w:hAnsi="Calibri" w:eastAsia="仿宋_GB2312"/>
                <w:sz w:val="24"/>
              </w:rPr>
            </w:pPr>
            <w:r>
              <w:rPr>
                <w:rFonts w:hint="eastAsia" w:ascii="仿宋_GB2312" w:hAnsi="Calibri" w:eastAsia="仿宋_GB2312"/>
                <w:sz w:val="24"/>
              </w:rPr>
              <w:t xml:space="preserve">GB/T </w:t>
            </w:r>
            <w:r>
              <w:rPr>
                <w:rFonts w:ascii="仿宋_GB2312" w:hAnsi="Calibri" w:eastAsia="仿宋_GB2312"/>
                <w:sz w:val="24"/>
              </w:rPr>
              <w:t>8626</w:t>
            </w:r>
            <w:r>
              <w:rPr>
                <w:rFonts w:hint="eastAsia" w:ascii="仿宋_GB2312" w:hAnsi="Calibri" w:eastAsia="仿宋_GB2312"/>
                <w:sz w:val="24"/>
              </w:rPr>
              <w:t>-200</w:t>
            </w:r>
            <w:r>
              <w:rPr>
                <w:rFonts w:ascii="仿宋_GB2312" w:hAnsi="Calibri" w:eastAsia="仿宋_GB2312"/>
                <w:sz w:val="24"/>
              </w:rPr>
              <w:t>7</w:t>
            </w:r>
          </w:p>
        </w:tc>
        <w:tc>
          <w:tcPr>
            <w:tcW w:w="868" w:type="dxa"/>
            <w:vMerge w:val="restart"/>
            <w:noWrap w:val="0"/>
            <w:vAlign w:val="center"/>
          </w:tcPr>
          <w:p>
            <w:pPr>
              <w:wordWrap w:val="0"/>
              <w:jc w:val="center"/>
              <w:rPr>
                <w:rFonts w:ascii="仿宋_GB2312" w:hAnsi="Calibri" w:eastAsia="仿宋_GB2312"/>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jc w:val="center"/>
              <w:rPr>
                <w:rFonts w:ascii="仿宋_GB2312" w:hAnsi="宋体" w:eastAsia="仿宋_GB2312"/>
                <w:sz w:val="24"/>
              </w:rPr>
            </w:pPr>
            <w:r>
              <w:rPr>
                <w:rFonts w:hint="eastAsia" w:ascii="仿宋_GB2312" w:hAnsi="宋体" w:eastAsia="仿宋_GB2312"/>
                <w:sz w:val="24"/>
              </w:rPr>
              <w:t>2</w:t>
            </w:r>
          </w:p>
        </w:tc>
        <w:tc>
          <w:tcPr>
            <w:tcW w:w="1134" w:type="dxa"/>
            <w:vMerge w:val="continue"/>
            <w:noWrap w:val="0"/>
            <w:vAlign w:val="center"/>
          </w:tcPr>
          <w:p>
            <w:pPr>
              <w:wordWrap w:val="0"/>
              <w:jc w:val="center"/>
              <w:rPr>
                <w:rFonts w:ascii="仿宋_GB2312" w:hAnsi="Calibri" w:eastAsia="仿宋_GB2312"/>
                <w:sz w:val="24"/>
              </w:rPr>
            </w:pPr>
          </w:p>
        </w:tc>
        <w:tc>
          <w:tcPr>
            <w:tcW w:w="1843"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火焰横向蔓延</w:t>
            </w:r>
          </w:p>
        </w:tc>
        <w:tc>
          <w:tcPr>
            <w:tcW w:w="2818" w:type="dxa"/>
            <w:vMerge w:val="continue"/>
            <w:noWrap w:val="0"/>
            <w:vAlign w:val="center"/>
          </w:tcPr>
          <w:p>
            <w:pPr>
              <w:wordWrap w:val="0"/>
              <w:jc w:val="center"/>
              <w:rPr>
                <w:rFonts w:ascii="仿宋_GB2312" w:hAnsi="Calibri" w:eastAsia="仿宋_GB2312"/>
                <w:sz w:val="24"/>
              </w:rPr>
            </w:pPr>
          </w:p>
        </w:tc>
        <w:tc>
          <w:tcPr>
            <w:tcW w:w="1007" w:type="dxa"/>
            <w:vMerge w:val="continue"/>
            <w:noWrap w:val="0"/>
            <w:vAlign w:val="center"/>
          </w:tcPr>
          <w:p>
            <w:pPr>
              <w:wordWrap w:val="0"/>
              <w:jc w:val="center"/>
              <w:rPr>
                <w:rFonts w:ascii="仿宋_GB2312" w:hAnsi="Calibri" w:eastAsia="仿宋_GB2312"/>
                <w:sz w:val="24"/>
              </w:rPr>
            </w:pPr>
          </w:p>
        </w:tc>
        <w:tc>
          <w:tcPr>
            <w:tcW w:w="2395" w:type="dxa"/>
            <w:vMerge w:val="continue"/>
            <w:noWrap w:val="0"/>
            <w:vAlign w:val="center"/>
          </w:tcPr>
          <w:p>
            <w:pPr>
              <w:wordWrap w:val="0"/>
              <w:jc w:val="center"/>
              <w:rPr>
                <w:rFonts w:ascii="仿宋_GB2312" w:hAnsi="Calibri" w:eastAsia="仿宋_GB2312"/>
                <w:sz w:val="24"/>
              </w:rPr>
            </w:pPr>
          </w:p>
        </w:tc>
        <w:tc>
          <w:tcPr>
            <w:tcW w:w="868" w:type="dxa"/>
            <w:vMerge w:val="continue"/>
            <w:noWrap w:val="0"/>
            <w:vAlign w:val="center"/>
          </w:tcPr>
          <w:p>
            <w:pPr>
              <w:wordWrap w:val="0"/>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jc w:val="center"/>
              <w:rPr>
                <w:rFonts w:ascii="仿宋_GB2312" w:hAnsi="宋体" w:eastAsia="仿宋_GB2312"/>
                <w:sz w:val="24"/>
              </w:rPr>
            </w:pPr>
            <w:r>
              <w:rPr>
                <w:rFonts w:hint="eastAsia" w:ascii="仿宋_GB2312" w:hAnsi="宋体" w:eastAsia="仿宋_GB2312"/>
                <w:sz w:val="24"/>
              </w:rPr>
              <w:t>3</w:t>
            </w:r>
          </w:p>
        </w:tc>
        <w:tc>
          <w:tcPr>
            <w:tcW w:w="1134" w:type="dxa"/>
            <w:vMerge w:val="continue"/>
            <w:noWrap w:val="0"/>
            <w:vAlign w:val="center"/>
          </w:tcPr>
          <w:p>
            <w:pPr>
              <w:wordWrap w:val="0"/>
              <w:jc w:val="center"/>
              <w:rPr>
                <w:rFonts w:ascii="仿宋_GB2312" w:hAnsi="Calibri" w:eastAsia="仿宋_GB2312"/>
                <w:sz w:val="24"/>
              </w:rPr>
            </w:pPr>
          </w:p>
        </w:tc>
        <w:tc>
          <w:tcPr>
            <w:tcW w:w="1843"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600s内总放热量</w:t>
            </w:r>
          </w:p>
        </w:tc>
        <w:tc>
          <w:tcPr>
            <w:tcW w:w="2818" w:type="dxa"/>
            <w:vMerge w:val="continue"/>
            <w:noWrap w:val="0"/>
            <w:vAlign w:val="center"/>
          </w:tcPr>
          <w:p>
            <w:pPr>
              <w:wordWrap w:val="0"/>
              <w:jc w:val="center"/>
              <w:rPr>
                <w:rFonts w:ascii="仿宋_GB2312" w:hAnsi="Calibri" w:eastAsia="仿宋_GB2312"/>
                <w:sz w:val="24"/>
              </w:rPr>
            </w:pPr>
          </w:p>
        </w:tc>
        <w:tc>
          <w:tcPr>
            <w:tcW w:w="1007" w:type="dxa"/>
            <w:vMerge w:val="continue"/>
            <w:noWrap w:val="0"/>
            <w:vAlign w:val="center"/>
          </w:tcPr>
          <w:p>
            <w:pPr>
              <w:wordWrap w:val="0"/>
              <w:jc w:val="center"/>
              <w:rPr>
                <w:rFonts w:ascii="仿宋_GB2312" w:hAnsi="Calibri" w:eastAsia="仿宋_GB2312"/>
                <w:sz w:val="24"/>
              </w:rPr>
            </w:pPr>
          </w:p>
        </w:tc>
        <w:tc>
          <w:tcPr>
            <w:tcW w:w="2395" w:type="dxa"/>
            <w:vMerge w:val="continue"/>
            <w:noWrap w:val="0"/>
            <w:vAlign w:val="center"/>
          </w:tcPr>
          <w:p>
            <w:pPr>
              <w:wordWrap w:val="0"/>
              <w:jc w:val="center"/>
              <w:rPr>
                <w:rFonts w:ascii="仿宋_GB2312" w:hAnsi="Calibri" w:eastAsia="仿宋_GB2312"/>
                <w:sz w:val="24"/>
              </w:rPr>
            </w:pPr>
          </w:p>
        </w:tc>
        <w:tc>
          <w:tcPr>
            <w:tcW w:w="868" w:type="dxa"/>
            <w:vMerge w:val="continue"/>
            <w:noWrap w:val="0"/>
            <w:vAlign w:val="center"/>
          </w:tcPr>
          <w:p>
            <w:pPr>
              <w:wordWrap w:val="0"/>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jc w:val="center"/>
              <w:rPr>
                <w:rFonts w:ascii="仿宋_GB2312" w:hAnsi="宋体" w:eastAsia="仿宋_GB2312"/>
                <w:sz w:val="24"/>
              </w:rPr>
            </w:pPr>
            <w:r>
              <w:rPr>
                <w:rFonts w:hint="eastAsia" w:ascii="仿宋_GB2312" w:hAnsi="宋体" w:eastAsia="仿宋_GB2312"/>
                <w:sz w:val="24"/>
              </w:rPr>
              <w:t>4</w:t>
            </w:r>
          </w:p>
        </w:tc>
        <w:tc>
          <w:tcPr>
            <w:tcW w:w="1134" w:type="dxa"/>
            <w:vMerge w:val="continue"/>
            <w:noWrap w:val="0"/>
            <w:vAlign w:val="center"/>
          </w:tcPr>
          <w:p>
            <w:pPr>
              <w:wordWrap w:val="0"/>
              <w:jc w:val="center"/>
              <w:rPr>
                <w:rFonts w:ascii="仿宋_GB2312" w:hAnsi="Calibri" w:eastAsia="仿宋_GB2312"/>
                <w:sz w:val="24"/>
              </w:rPr>
            </w:pPr>
          </w:p>
        </w:tc>
        <w:tc>
          <w:tcPr>
            <w:tcW w:w="1843"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60s内焰尖高度</w:t>
            </w:r>
          </w:p>
        </w:tc>
        <w:tc>
          <w:tcPr>
            <w:tcW w:w="2818" w:type="dxa"/>
            <w:vMerge w:val="continue"/>
            <w:noWrap w:val="0"/>
            <w:vAlign w:val="center"/>
          </w:tcPr>
          <w:p>
            <w:pPr>
              <w:wordWrap w:val="0"/>
              <w:jc w:val="center"/>
              <w:rPr>
                <w:rFonts w:ascii="仿宋_GB2312" w:hAnsi="Calibri" w:eastAsia="仿宋_GB2312"/>
                <w:sz w:val="24"/>
              </w:rPr>
            </w:pPr>
          </w:p>
        </w:tc>
        <w:tc>
          <w:tcPr>
            <w:tcW w:w="1007" w:type="dxa"/>
            <w:vMerge w:val="continue"/>
            <w:noWrap w:val="0"/>
            <w:vAlign w:val="center"/>
          </w:tcPr>
          <w:p>
            <w:pPr>
              <w:wordWrap w:val="0"/>
              <w:jc w:val="center"/>
              <w:rPr>
                <w:rFonts w:ascii="仿宋_GB2312" w:hAnsi="Calibri" w:eastAsia="仿宋_GB2312"/>
                <w:sz w:val="24"/>
              </w:rPr>
            </w:pPr>
          </w:p>
        </w:tc>
        <w:tc>
          <w:tcPr>
            <w:tcW w:w="2395" w:type="dxa"/>
            <w:vMerge w:val="continue"/>
            <w:noWrap w:val="0"/>
            <w:vAlign w:val="center"/>
          </w:tcPr>
          <w:p>
            <w:pPr>
              <w:wordWrap w:val="0"/>
              <w:jc w:val="center"/>
              <w:rPr>
                <w:rFonts w:ascii="仿宋_GB2312" w:hAnsi="Calibri" w:eastAsia="仿宋_GB2312"/>
                <w:sz w:val="24"/>
              </w:rPr>
            </w:pPr>
          </w:p>
        </w:tc>
        <w:tc>
          <w:tcPr>
            <w:tcW w:w="868" w:type="dxa"/>
            <w:vMerge w:val="continue"/>
            <w:noWrap w:val="0"/>
            <w:vAlign w:val="center"/>
          </w:tcPr>
          <w:p>
            <w:pPr>
              <w:wordWrap w:val="0"/>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wordWrap w:val="0"/>
              <w:jc w:val="center"/>
              <w:rPr>
                <w:rFonts w:ascii="仿宋_GB2312" w:hAnsi="宋体" w:eastAsia="仿宋_GB2312"/>
                <w:sz w:val="24"/>
              </w:rPr>
            </w:pPr>
            <w:r>
              <w:rPr>
                <w:rFonts w:hint="eastAsia" w:ascii="仿宋_GB2312" w:hAnsi="宋体" w:eastAsia="仿宋_GB2312"/>
                <w:sz w:val="24"/>
              </w:rPr>
              <w:t>5</w:t>
            </w:r>
          </w:p>
        </w:tc>
        <w:tc>
          <w:tcPr>
            <w:tcW w:w="1134" w:type="dxa"/>
            <w:vMerge w:val="continue"/>
            <w:noWrap w:val="0"/>
            <w:vAlign w:val="center"/>
          </w:tcPr>
          <w:p>
            <w:pPr>
              <w:wordWrap w:val="0"/>
              <w:jc w:val="center"/>
              <w:rPr>
                <w:rFonts w:ascii="仿宋_GB2312" w:hAnsi="Calibri" w:eastAsia="仿宋_GB2312"/>
                <w:sz w:val="24"/>
              </w:rPr>
            </w:pPr>
          </w:p>
        </w:tc>
        <w:tc>
          <w:tcPr>
            <w:tcW w:w="1843"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60s内无燃烧滴落物引燃滤纸现象</w:t>
            </w:r>
          </w:p>
        </w:tc>
        <w:tc>
          <w:tcPr>
            <w:tcW w:w="2818" w:type="dxa"/>
            <w:vMerge w:val="continue"/>
            <w:noWrap w:val="0"/>
            <w:vAlign w:val="center"/>
          </w:tcPr>
          <w:p>
            <w:pPr>
              <w:wordWrap w:val="0"/>
              <w:jc w:val="center"/>
              <w:rPr>
                <w:rFonts w:ascii="仿宋_GB2312" w:hAnsi="Calibri" w:eastAsia="仿宋_GB2312"/>
                <w:sz w:val="24"/>
              </w:rPr>
            </w:pPr>
          </w:p>
        </w:tc>
        <w:tc>
          <w:tcPr>
            <w:tcW w:w="1007" w:type="dxa"/>
            <w:vMerge w:val="continue"/>
            <w:noWrap w:val="0"/>
            <w:vAlign w:val="center"/>
          </w:tcPr>
          <w:p>
            <w:pPr>
              <w:wordWrap w:val="0"/>
              <w:jc w:val="center"/>
              <w:rPr>
                <w:rFonts w:ascii="仿宋_GB2312" w:hAnsi="Calibri" w:eastAsia="仿宋_GB2312"/>
                <w:sz w:val="24"/>
              </w:rPr>
            </w:pPr>
          </w:p>
        </w:tc>
        <w:tc>
          <w:tcPr>
            <w:tcW w:w="2395" w:type="dxa"/>
            <w:vMerge w:val="continue"/>
            <w:noWrap w:val="0"/>
            <w:vAlign w:val="center"/>
          </w:tcPr>
          <w:p>
            <w:pPr>
              <w:wordWrap w:val="0"/>
              <w:jc w:val="center"/>
              <w:rPr>
                <w:rFonts w:ascii="仿宋_GB2312" w:hAnsi="Calibri" w:eastAsia="仿宋_GB2312"/>
                <w:sz w:val="24"/>
              </w:rPr>
            </w:pPr>
          </w:p>
        </w:tc>
        <w:tc>
          <w:tcPr>
            <w:tcW w:w="868" w:type="dxa"/>
            <w:vMerge w:val="continue"/>
            <w:noWrap w:val="0"/>
            <w:vAlign w:val="center"/>
          </w:tcPr>
          <w:p>
            <w:pPr>
              <w:wordWrap w:val="0"/>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wordWrap w:val="0"/>
              <w:jc w:val="center"/>
              <w:rPr>
                <w:rFonts w:ascii="仿宋_GB2312" w:hAnsi="宋体" w:eastAsia="仿宋_GB2312"/>
                <w:sz w:val="24"/>
              </w:rPr>
            </w:pPr>
            <w:r>
              <w:rPr>
                <w:rFonts w:hint="eastAsia" w:ascii="仿宋_GB2312" w:hAnsi="宋体" w:eastAsia="仿宋_GB2312"/>
                <w:sz w:val="24"/>
              </w:rPr>
              <w:t>6</w:t>
            </w:r>
          </w:p>
        </w:tc>
        <w:tc>
          <w:tcPr>
            <w:tcW w:w="1134" w:type="dxa"/>
            <w:vMerge w:val="restart"/>
            <w:noWrap w:val="0"/>
            <w:vAlign w:val="center"/>
          </w:tcPr>
          <w:p>
            <w:pPr>
              <w:wordWrap w:val="0"/>
              <w:jc w:val="center"/>
              <w:rPr>
                <w:rFonts w:ascii="仿宋_GB2312" w:hAnsi="Calibri" w:eastAsia="仿宋_GB2312"/>
                <w:sz w:val="24"/>
                <w:vertAlign w:val="superscript"/>
              </w:rPr>
            </w:pPr>
            <w:r>
              <w:rPr>
                <w:rFonts w:hint="eastAsia" w:ascii="仿宋_GB2312" w:hAnsi="Calibri" w:eastAsia="仿宋_GB2312"/>
                <w:sz w:val="24"/>
              </w:rPr>
              <w:t>产烟特性等级</w:t>
            </w:r>
            <w:r>
              <w:rPr>
                <w:rFonts w:hint="eastAsia" w:ascii="仿宋_GB2312" w:hAnsi="Calibri" w:eastAsia="仿宋_GB2312"/>
                <w:sz w:val="24"/>
                <w:vertAlign w:val="superscript"/>
              </w:rPr>
              <w:t>1</w:t>
            </w:r>
          </w:p>
        </w:tc>
        <w:tc>
          <w:tcPr>
            <w:tcW w:w="1843" w:type="dxa"/>
            <w:noWrap w:val="0"/>
            <w:vAlign w:val="center"/>
          </w:tcPr>
          <w:p>
            <w:pPr>
              <w:wordWrap w:val="0"/>
              <w:jc w:val="center"/>
              <w:rPr>
                <w:rFonts w:ascii="仿宋_GB2312" w:hAnsi="Calibri" w:eastAsia="仿宋_GB2312"/>
                <w:sz w:val="24"/>
                <w:vertAlign w:val="superscript"/>
              </w:rPr>
            </w:pPr>
            <w:r>
              <w:rPr>
                <w:rFonts w:hint="eastAsia" w:ascii="仿宋_GB2312" w:hAnsi="Calibri" w:eastAsia="仿宋_GB2312"/>
                <w:sz w:val="24"/>
              </w:rPr>
              <w:t>烟气生成速率指数</w:t>
            </w:r>
          </w:p>
        </w:tc>
        <w:tc>
          <w:tcPr>
            <w:tcW w:w="2818" w:type="dxa"/>
            <w:vMerge w:val="restart"/>
            <w:noWrap w:val="0"/>
            <w:vAlign w:val="center"/>
          </w:tcPr>
          <w:p>
            <w:pPr>
              <w:wordWrap w:val="0"/>
              <w:jc w:val="center"/>
              <w:rPr>
                <w:rFonts w:ascii="仿宋_GB2312" w:hAnsi="Calibri" w:eastAsia="仿宋_GB2312"/>
                <w:sz w:val="24"/>
              </w:rPr>
            </w:pPr>
            <w:r>
              <w:rPr>
                <w:rFonts w:hint="eastAsia" w:ascii="仿宋_GB2312" w:hAnsi="Calibri" w:eastAsia="仿宋_GB2312"/>
                <w:sz w:val="24"/>
              </w:rPr>
              <w:t>GB 8624-2012</w:t>
            </w:r>
          </w:p>
          <w:p>
            <w:pPr>
              <w:wordWrap w:val="0"/>
              <w:jc w:val="center"/>
              <w:rPr>
                <w:rFonts w:ascii="仿宋_GB2312" w:hAnsi="Calibri" w:eastAsia="仿宋_GB2312"/>
                <w:sz w:val="24"/>
              </w:rPr>
            </w:pPr>
            <w:r>
              <w:rPr>
                <w:rFonts w:hint="eastAsia" w:ascii="仿宋_GB2312" w:hAnsi="Calibri" w:eastAsia="仿宋_GB2312"/>
                <w:sz w:val="24"/>
              </w:rPr>
              <w:t>附录B 1.4</w:t>
            </w:r>
          </w:p>
          <w:p>
            <w:pPr>
              <w:wordWrap w:val="0"/>
              <w:jc w:val="center"/>
              <w:rPr>
                <w:rFonts w:ascii="仿宋_GB2312" w:hAnsi="Calibri" w:eastAsia="仿宋_GB2312"/>
                <w:sz w:val="24"/>
              </w:rPr>
            </w:pPr>
            <w:r>
              <w:rPr>
                <w:rFonts w:ascii="仿宋_GB2312" w:hAnsi="Calibri" w:eastAsia="仿宋_GB2312"/>
                <w:sz w:val="24"/>
              </w:rPr>
              <w:t>GB</w:t>
            </w:r>
            <w:r>
              <w:rPr>
                <w:rFonts w:hint="eastAsia" w:ascii="仿宋_GB2312" w:hAnsi="Calibri" w:eastAsia="仿宋_GB2312"/>
                <w:sz w:val="24"/>
              </w:rPr>
              <w:t>/T</w:t>
            </w:r>
            <w:r>
              <w:rPr>
                <w:rFonts w:ascii="仿宋_GB2312" w:hAnsi="Calibri" w:eastAsia="仿宋_GB2312"/>
                <w:sz w:val="24"/>
              </w:rPr>
              <w:t xml:space="preserve"> 18101-2013</w:t>
            </w:r>
            <w:r>
              <w:rPr>
                <w:rFonts w:hint="eastAsia" w:ascii="仿宋_GB2312" w:hAnsi="Calibri" w:eastAsia="仿宋_GB2312"/>
                <w:sz w:val="24"/>
              </w:rPr>
              <w:t xml:space="preserve"> 6.6.2</w:t>
            </w:r>
          </w:p>
        </w:tc>
        <w:tc>
          <w:tcPr>
            <w:tcW w:w="1007" w:type="dxa"/>
            <w:vMerge w:val="restart"/>
            <w:noWrap w:val="0"/>
            <w:vAlign w:val="center"/>
          </w:tcPr>
          <w:p>
            <w:pPr>
              <w:wordWrap w:val="0"/>
              <w:jc w:val="center"/>
              <w:rPr>
                <w:rFonts w:ascii="仿宋_GB2312" w:hAnsi="Calibri" w:eastAsia="仿宋_GB2312"/>
                <w:sz w:val="24"/>
              </w:rPr>
            </w:pPr>
            <w:r>
              <w:rPr>
                <w:rFonts w:ascii="仿宋_GB2312" w:hAnsi="Calibri" w:eastAsia="仿宋_GB2312"/>
                <w:sz w:val="24"/>
              </w:rPr>
              <w:t>明示质量要求</w:t>
            </w:r>
          </w:p>
        </w:tc>
        <w:tc>
          <w:tcPr>
            <w:tcW w:w="2395" w:type="dxa"/>
            <w:vMerge w:val="restart"/>
            <w:noWrap w:val="0"/>
            <w:vAlign w:val="center"/>
          </w:tcPr>
          <w:p>
            <w:pPr>
              <w:wordWrap w:val="0"/>
              <w:jc w:val="center"/>
              <w:rPr>
                <w:rFonts w:ascii="仿宋_GB2312" w:hAnsi="Calibri" w:eastAsia="仿宋_GB2312"/>
                <w:sz w:val="24"/>
              </w:rPr>
            </w:pPr>
            <w:r>
              <w:rPr>
                <w:rFonts w:hint="eastAsia" w:ascii="仿宋_GB2312" w:hAnsi="Calibri" w:eastAsia="仿宋_GB2312"/>
                <w:sz w:val="24"/>
              </w:rPr>
              <w:t>GB/T 20284-2006</w:t>
            </w:r>
          </w:p>
        </w:tc>
        <w:tc>
          <w:tcPr>
            <w:tcW w:w="868" w:type="dxa"/>
            <w:vMerge w:val="restart"/>
            <w:noWrap w:val="0"/>
            <w:vAlign w:val="center"/>
          </w:tcPr>
          <w:p>
            <w:pPr>
              <w:wordWrap w:val="0"/>
              <w:jc w:val="center"/>
              <w:rPr>
                <w:rFonts w:ascii="仿宋_GB2312" w:hAnsi="Calibri" w:eastAsia="仿宋_GB2312"/>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wordWrap w:val="0"/>
              <w:jc w:val="center"/>
              <w:rPr>
                <w:rFonts w:ascii="仿宋_GB2312" w:hAnsi="宋体" w:eastAsia="仿宋_GB2312"/>
                <w:sz w:val="24"/>
              </w:rPr>
            </w:pPr>
            <w:r>
              <w:rPr>
                <w:rFonts w:hint="eastAsia" w:ascii="仿宋_GB2312" w:hAnsi="宋体" w:eastAsia="仿宋_GB2312"/>
                <w:sz w:val="24"/>
              </w:rPr>
              <w:t>7</w:t>
            </w:r>
          </w:p>
        </w:tc>
        <w:tc>
          <w:tcPr>
            <w:tcW w:w="1134" w:type="dxa"/>
            <w:vMerge w:val="continue"/>
            <w:noWrap w:val="0"/>
            <w:vAlign w:val="center"/>
          </w:tcPr>
          <w:p>
            <w:pPr>
              <w:wordWrap w:val="0"/>
              <w:jc w:val="center"/>
              <w:rPr>
                <w:rFonts w:ascii="仿宋_GB2312" w:hAnsi="Calibri" w:eastAsia="仿宋_GB2312"/>
                <w:sz w:val="24"/>
                <w:vertAlign w:val="superscript"/>
              </w:rPr>
            </w:pPr>
          </w:p>
        </w:tc>
        <w:tc>
          <w:tcPr>
            <w:tcW w:w="1843" w:type="dxa"/>
            <w:noWrap w:val="0"/>
            <w:vAlign w:val="center"/>
          </w:tcPr>
          <w:p>
            <w:pPr>
              <w:wordWrap w:val="0"/>
              <w:jc w:val="center"/>
              <w:rPr>
                <w:rFonts w:ascii="仿宋_GB2312" w:hAnsi="Calibri" w:eastAsia="仿宋_GB2312"/>
                <w:sz w:val="24"/>
                <w:vertAlign w:val="superscript"/>
              </w:rPr>
            </w:pPr>
            <w:r>
              <w:rPr>
                <w:rFonts w:hint="eastAsia" w:ascii="仿宋_GB2312" w:hAnsi="Calibri" w:eastAsia="仿宋_GB2312"/>
                <w:sz w:val="24"/>
              </w:rPr>
              <w:t>600s内总烟气生成量</w:t>
            </w:r>
          </w:p>
        </w:tc>
        <w:tc>
          <w:tcPr>
            <w:tcW w:w="2818" w:type="dxa"/>
            <w:vMerge w:val="continue"/>
            <w:noWrap w:val="0"/>
            <w:vAlign w:val="center"/>
          </w:tcPr>
          <w:p>
            <w:pPr>
              <w:wordWrap w:val="0"/>
              <w:jc w:val="center"/>
              <w:rPr>
                <w:rFonts w:ascii="仿宋_GB2312" w:hAnsi="Calibri" w:eastAsia="仿宋_GB2312"/>
                <w:sz w:val="24"/>
              </w:rPr>
            </w:pPr>
          </w:p>
        </w:tc>
        <w:tc>
          <w:tcPr>
            <w:tcW w:w="1007" w:type="dxa"/>
            <w:vMerge w:val="continue"/>
            <w:noWrap w:val="0"/>
            <w:vAlign w:val="center"/>
          </w:tcPr>
          <w:p>
            <w:pPr>
              <w:wordWrap w:val="0"/>
              <w:jc w:val="center"/>
              <w:rPr>
                <w:rFonts w:ascii="仿宋_GB2312" w:hAnsi="Calibri" w:eastAsia="仿宋_GB2312"/>
                <w:sz w:val="24"/>
              </w:rPr>
            </w:pPr>
          </w:p>
        </w:tc>
        <w:tc>
          <w:tcPr>
            <w:tcW w:w="2395" w:type="dxa"/>
            <w:vMerge w:val="continue"/>
            <w:noWrap w:val="0"/>
            <w:vAlign w:val="center"/>
          </w:tcPr>
          <w:p>
            <w:pPr>
              <w:wordWrap w:val="0"/>
              <w:jc w:val="center"/>
              <w:rPr>
                <w:rFonts w:ascii="仿宋_GB2312" w:hAnsi="Calibri" w:eastAsia="仿宋_GB2312"/>
                <w:sz w:val="24"/>
              </w:rPr>
            </w:pPr>
          </w:p>
        </w:tc>
        <w:tc>
          <w:tcPr>
            <w:tcW w:w="868" w:type="dxa"/>
            <w:vMerge w:val="continue"/>
            <w:noWrap w:val="0"/>
            <w:vAlign w:val="center"/>
          </w:tcPr>
          <w:p>
            <w:pPr>
              <w:wordWrap w:val="0"/>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wordWrap w:val="0"/>
              <w:jc w:val="center"/>
              <w:rPr>
                <w:rFonts w:ascii="仿宋_GB2312" w:hAnsi="宋体" w:eastAsia="仿宋_GB2312"/>
                <w:sz w:val="24"/>
              </w:rPr>
            </w:pPr>
            <w:r>
              <w:rPr>
                <w:rFonts w:hint="eastAsia" w:ascii="仿宋_GB2312" w:hAnsi="宋体" w:eastAsia="仿宋_GB2312"/>
                <w:sz w:val="24"/>
              </w:rPr>
              <w:t>8</w:t>
            </w:r>
          </w:p>
        </w:tc>
        <w:tc>
          <w:tcPr>
            <w:tcW w:w="2977" w:type="dxa"/>
            <w:gridSpan w:val="2"/>
            <w:noWrap w:val="0"/>
            <w:vAlign w:val="center"/>
          </w:tcPr>
          <w:p>
            <w:pPr>
              <w:wordWrap w:val="0"/>
              <w:jc w:val="center"/>
              <w:rPr>
                <w:rFonts w:ascii="仿宋_GB2312" w:hAnsi="Calibri" w:eastAsia="仿宋_GB2312"/>
                <w:sz w:val="24"/>
              </w:rPr>
            </w:pPr>
            <w:r>
              <w:rPr>
                <w:rFonts w:hint="eastAsia" w:ascii="仿宋_GB2312" w:hAnsi="Calibri" w:eastAsia="仿宋_GB2312"/>
                <w:sz w:val="24"/>
              </w:rPr>
              <w:t>燃烧滴落物/微粒等级</w:t>
            </w:r>
            <w:r>
              <w:rPr>
                <w:rFonts w:hint="eastAsia" w:ascii="仿宋_GB2312" w:hAnsi="Calibri" w:eastAsia="仿宋_GB2312"/>
                <w:sz w:val="24"/>
                <w:vertAlign w:val="superscript"/>
              </w:rPr>
              <w:t>1</w:t>
            </w:r>
          </w:p>
        </w:tc>
        <w:tc>
          <w:tcPr>
            <w:tcW w:w="2818"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 xml:space="preserve">GB 8624-2012 </w:t>
            </w:r>
          </w:p>
          <w:p>
            <w:pPr>
              <w:wordWrap w:val="0"/>
              <w:jc w:val="center"/>
              <w:rPr>
                <w:rFonts w:ascii="仿宋_GB2312" w:hAnsi="Calibri" w:eastAsia="仿宋_GB2312"/>
                <w:sz w:val="24"/>
              </w:rPr>
            </w:pPr>
            <w:r>
              <w:rPr>
                <w:rFonts w:hint="eastAsia" w:ascii="仿宋_GB2312" w:hAnsi="Calibri" w:eastAsia="仿宋_GB2312"/>
                <w:sz w:val="24"/>
              </w:rPr>
              <w:t>附录B 1.5</w:t>
            </w:r>
          </w:p>
          <w:p>
            <w:pPr>
              <w:wordWrap w:val="0"/>
              <w:jc w:val="center"/>
              <w:rPr>
                <w:rFonts w:ascii="仿宋_GB2312" w:hAnsi="Calibri" w:eastAsia="仿宋_GB2312"/>
                <w:sz w:val="24"/>
              </w:rPr>
            </w:pPr>
            <w:r>
              <w:rPr>
                <w:rFonts w:ascii="仿宋_GB2312" w:hAnsi="Calibri" w:eastAsia="仿宋_GB2312"/>
                <w:sz w:val="24"/>
              </w:rPr>
              <w:t>GB</w:t>
            </w:r>
            <w:r>
              <w:rPr>
                <w:rFonts w:hint="eastAsia" w:ascii="仿宋_GB2312" w:hAnsi="Calibri" w:eastAsia="仿宋_GB2312"/>
                <w:sz w:val="24"/>
              </w:rPr>
              <w:t>/T</w:t>
            </w:r>
            <w:r>
              <w:rPr>
                <w:rFonts w:ascii="仿宋_GB2312" w:hAnsi="Calibri" w:eastAsia="仿宋_GB2312"/>
                <w:sz w:val="24"/>
              </w:rPr>
              <w:t xml:space="preserve"> 18101-2013</w:t>
            </w:r>
            <w:r>
              <w:rPr>
                <w:rFonts w:hint="eastAsia" w:ascii="仿宋_GB2312" w:hAnsi="Calibri" w:eastAsia="仿宋_GB2312"/>
                <w:sz w:val="24"/>
              </w:rPr>
              <w:t xml:space="preserve"> 6.6.2</w:t>
            </w:r>
          </w:p>
        </w:tc>
        <w:tc>
          <w:tcPr>
            <w:tcW w:w="1007" w:type="dxa"/>
            <w:noWrap w:val="0"/>
            <w:vAlign w:val="center"/>
          </w:tcPr>
          <w:p>
            <w:pPr>
              <w:wordWrap w:val="0"/>
              <w:jc w:val="center"/>
              <w:rPr>
                <w:rFonts w:ascii="仿宋_GB2312" w:hAnsi="Calibri" w:eastAsia="仿宋_GB2312"/>
                <w:sz w:val="24"/>
              </w:rPr>
            </w:pPr>
            <w:r>
              <w:rPr>
                <w:rFonts w:ascii="仿宋_GB2312" w:hAnsi="Calibri" w:eastAsia="仿宋_GB2312"/>
                <w:sz w:val="24"/>
              </w:rPr>
              <w:t>明示质量要求</w:t>
            </w:r>
          </w:p>
        </w:tc>
        <w:tc>
          <w:tcPr>
            <w:tcW w:w="2395"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GB/T 20284-2006</w:t>
            </w:r>
          </w:p>
        </w:tc>
        <w:tc>
          <w:tcPr>
            <w:tcW w:w="868"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8" w:type="dxa"/>
            <w:noWrap w:val="0"/>
            <w:vAlign w:val="center"/>
          </w:tcPr>
          <w:p>
            <w:pPr>
              <w:wordWrap w:val="0"/>
              <w:jc w:val="center"/>
              <w:rPr>
                <w:rFonts w:ascii="仿宋_GB2312" w:hAnsi="宋体" w:eastAsia="仿宋_GB2312"/>
                <w:sz w:val="24"/>
              </w:rPr>
            </w:pPr>
            <w:r>
              <w:rPr>
                <w:rFonts w:hint="eastAsia" w:ascii="仿宋_GB2312" w:hAnsi="宋体" w:eastAsia="仿宋_GB2312"/>
                <w:sz w:val="24"/>
              </w:rPr>
              <w:t>9</w:t>
            </w:r>
          </w:p>
        </w:tc>
        <w:tc>
          <w:tcPr>
            <w:tcW w:w="2977" w:type="dxa"/>
            <w:gridSpan w:val="2"/>
            <w:noWrap w:val="0"/>
            <w:vAlign w:val="center"/>
          </w:tcPr>
          <w:p>
            <w:pPr>
              <w:wordWrap w:val="0"/>
              <w:jc w:val="center"/>
              <w:rPr>
                <w:rFonts w:ascii="仿宋_GB2312" w:hAnsi="Calibri" w:eastAsia="仿宋_GB2312"/>
                <w:sz w:val="24"/>
              </w:rPr>
            </w:pPr>
            <w:r>
              <w:rPr>
                <w:rFonts w:hint="eastAsia" w:ascii="仿宋_GB2312" w:hAnsi="Calibri" w:eastAsia="仿宋_GB2312"/>
                <w:sz w:val="24"/>
              </w:rPr>
              <w:t>甲醛释放量</w:t>
            </w:r>
          </w:p>
        </w:tc>
        <w:tc>
          <w:tcPr>
            <w:tcW w:w="2818"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GB18580-2017</w:t>
            </w:r>
          </w:p>
        </w:tc>
        <w:tc>
          <w:tcPr>
            <w:tcW w:w="1007"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强制性</w:t>
            </w:r>
          </w:p>
        </w:tc>
        <w:tc>
          <w:tcPr>
            <w:tcW w:w="2395"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GB/T17657-2013</w:t>
            </w:r>
          </w:p>
        </w:tc>
        <w:tc>
          <w:tcPr>
            <w:tcW w:w="868" w:type="dxa"/>
            <w:noWrap w:val="0"/>
            <w:vAlign w:val="center"/>
          </w:tcPr>
          <w:p>
            <w:pPr>
              <w:wordWrap w:val="0"/>
              <w:jc w:val="center"/>
              <w:rPr>
                <w:rFonts w:ascii="仿宋_GB2312" w:hAnsi="Calibri" w:eastAsia="仿宋_GB2312"/>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923" w:type="dxa"/>
            <w:gridSpan w:val="7"/>
            <w:noWrap w:val="0"/>
            <w:vAlign w:val="center"/>
          </w:tcPr>
          <w:p>
            <w:pPr>
              <w:jc w:val="left"/>
              <w:rPr>
                <w:rFonts w:ascii="仿宋_GB2312" w:hAnsi="Calibri" w:eastAsia="仿宋_GB2312"/>
                <w:sz w:val="24"/>
              </w:rPr>
            </w:pPr>
            <w:r>
              <w:rPr>
                <w:rFonts w:hint="eastAsia" w:ascii="仿宋_GB2312" w:hAnsi="Calibri" w:eastAsia="仿宋_GB2312"/>
                <w:sz w:val="24"/>
              </w:rPr>
              <w:t>注:</w:t>
            </w:r>
          </w:p>
          <w:p>
            <w:pPr>
              <w:jc w:val="left"/>
              <w:rPr>
                <w:rFonts w:ascii="仿宋_GB2312" w:hAnsi="Calibri" w:eastAsia="仿宋_GB2312"/>
                <w:sz w:val="24"/>
              </w:rPr>
            </w:pPr>
            <w:r>
              <w:rPr>
                <w:rFonts w:hint="eastAsia" w:ascii="仿宋_GB2312" w:hAnsi="Calibri" w:eastAsia="仿宋_GB2312"/>
                <w:sz w:val="24"/>
              </w:rPr>
              <w:t>1.序号6-8适用于明示执行</w:t>
            </w:r>
            <w:r>
              <w:rPr>
                <w:rFonts w:ascii="仿宋_GB2312" w:hAnsi="Calibri" w:eastAsia="仿宋_GB2312"/>
                <w:sz w:val="24"/>
              </w:rPr>
              <w:t>GB</w:t>
            </w:r>
            <w:r>
              <w:rPr>
                <w:rFonts w:hint="eastAsia" w:ascii="仿宋_GB2312" w:hAnsi="Calibri" w:eastAsia="仿宋_GB2312"/>
                <w:sz w:val="24"/>
              </w:rPr>
              <w:t>/T</w:t>
            </w:r>
            <w:r>
              <w:rPr>
                <w:rFonts w:ascii="仿宋_GB2312" w:hAnsi="Calibri" w:eastAsia="仿宋_GB2312"/>
                <w:sz w:val="24"/>
              </w:rPr>
              <w:t xml:space="preserve"> 18101-2013或明示</w:t>
            </w:r>
            <w:r>
              <w:rPr>
                <w:rFonts w:hint="eastAsia" w:ascii="仿宋_GB2312" w:hAnsi="Calibri" w:eastAsia="仿宋_GB2312"/>
                <w:sz w:val="24"/>
              </w:rPr>
              <w:t>产烟特性等级、燃烧滴落物/微粒等级的产品。</w:t>
            </w:r>
          </w:p>
        </w:tc>
      </w:tr>
    </w:tbl>
    <w:p>
      <w:pPr>
        <w:snapToGrid w:val="0"/>
        <w:spacing w:line="360" w:lineRule="auto"/>
        <w:rPr>
          <w:rFonts w:ascii="仿宋_GB2312" w:hAnsi="宋体" w:eastAsia="仿宋_GB2312"/>
          <w:b/>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 xml:space="preserve"> 检验应注意的问题</w:t>
      </w:r>
    </w:p>
    <w:p>
      <w:pPr>
        <w:snapToGrid w:val="0"/>
        <w:spacing w:line="360" w:lineRule="auto"/>
        <w:rPr>
          <w:rFonts w:ascii="仿宋_GB2312" w:eastAsia="仿宋_GB2312" w:cs="Sim Sun"/>
          <w:kern w:val="0"/>
          <w:sz w:val="32"/>
          <w:szCs w:val="32"/>
        </w:rPr>
      </w:pPr>
      <w:r>
        <w:rPr>
          <w:rFonts w:hint="eastAsia" w:ascii="仿宋_GB2312" w:hAnsi="Calibri" w:eastAsia="仿宋_GB2312" w:cs="Sim Sun"/>
          <w:b/>
          <w:kern w:val="0"/>
          <w:sz w:val="32"/>
          <w:szCs w:val="32"/>
        </w:rPr>
        <w:t>6</w:t>
      </w:r>
      <w:r>
        <w:rPr>
          <w:rFonts w:hint="eastAsia" w:ascii="仿宋_GB2312" w:eastAsia="仿宋_GB2312" w:cs="Sim Sun"/>
          <w:b/>
          <w:kern w:val="0"/>
          <w:sz w:val="32"/>
          <w:szCs w:val="32"/>
        </w:rPr>
        <w:t>.</w:t>
      </w:r>
      <w:r>
        <w:rPr>
          <w:rFonts w:ascii="仿宋_GB2312" w:eastAsia="仿宋_GB2312" w:cs="Sim Sun"/>
          <w:b/>
          <w:kern w:val="0"/>
          <w:sz w:val="32"/>
          <w:szCs w:val="32"/>
        </w:rPr>
        <w:t>2</w:t>
      </w:r>
      <w:r>
        <w:rPr>
          <w:rFonts w:hint="eastAsia" w:ascii="仿宋_GB2312" w:eastAsia="仿宋_GB2312" w:cs="Sim Sun"/>
          <w:b/>
          <w:kern w:val="0"/>
          <w:sz w:val="32"/>
          <w:szCs w:val="32"/>
        </w:rPr>
        <w:t xml:space="preserve">.1 </w:t>
      </w:r>
      <w:r>
        <w:rPr>
          <w:rFonts w:hint="eastAsia" w:ascii="仿宋_GB2312" w:eastAsia="仿宋_GB2312" w:cs="Sim Sun"/>
          <w:kern w:val="0"/>
          <w:sz w:val="32"/>
          <w:szCs w:val="32"/>
        </w:rPr>
        <w:t>检验机构接收样品应当有专人负责检查、记录样品的外观、状态、封条有无破损及其他可能对检测结果或者综合判定产生影响的情况，并确认样品与抽样单的记录是否相符，对检测和备用样品分别加贴相应标识后入库。备用样品应该贮存在阴凉、干燥、安全、避光处，在整个保存期间应保证签封完整无损。</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6.2.2</w:t>
      </w:r>
      <w:r>
        <w:rPr>
          <w:rFonts w:hint="eastAsia" w:ascii="仿宋_GB2312" w:eastAsia="仿宋_GB2312" w:cs="Sim Sun"/>
          <w:kern w:val="0"/>
          <w:sz w:val="32"/>
          <w:szCs w:val="32"/>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32"/>
        </w:rPr>
      </w:pPr>
      <w:r>
        <w:rPr>
          <w:rFonts w:ascii="仿宋_GB2312" w:eastAsia="仿宋_GB2312" w:cs="Sim Sun"/>
          <w:b/>
          <w:kern w:val="0"/>
          <w:sz w:val="32"/>
          <w:szCs w:val="32"/>
        </w:rPr>
        <w:t>6.2.3</w:t>
      </w:r>
      <w:r>
        <w:rPr>
          <w:rFonts w:hint="eastAsia" w:ascii="仿宋_GB2312" w:eastAsia="仿宋_GB2312" w:cs="Sim Sun"/>
          <w:kern w:val="0"/>
          <w:sz w:val="32"/>
          <w:szCs w:val="32"/>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6.2.4</w:t>
      </w:r>
      <w:r>
        <w:rPr>
          <w:rFonts w:hint="eastAsia" w:ascii="仿宋_GB2312" w:eastAsia="仿宋_GB2312" w:cs="Sim Sun"/>
          <w:kern w:val="0"/>
          <w:sz w:val="32"/>
          <w:szCs w:val="32"/>
        </w:rPr>
        <w:t xml:space="preserve"> 若被检产品仅明示燃烧性能等级为B1级，未明示细分等级（B级或C级）时，其燃烧性能等级项目则参照标准按最低要求B1 (C)级检验。</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w:t>
      </w:r>
      <w:r>
        <w:rPr>
          <w:rFonts w:ascii="仿宋_GB2312" w:eastAsia="仿宋_GB2312" w:cs="Sim Sun"/>
          <w:b/>
          <w:kern w:val="0"/>
          <w:sz w:val="32"/>
          <w:szCs w:val="32"/>
        </w:rPr>
        <w:t>5</w:t>
      </w:r>
      <w:r>
        <w:rPr>
          <w:rFonts w:hint="eastAsia" w:ascii="仿宋_GB2312" w:eastAsia="仿宋_GB2312" w:cs="Sim Sun"/>
          <w:kern w:val="0"/>
          <w:sz w:val="32"/>
          <w:szCs w:val="32"/>
        </w:rPr>
        <w:t xml:space="preserve"> 若被检产品明示的检验</w:t>
      </w:r>
      <w:r>
        <w:rPr>
          <w:rFonts w:ascii="仿宋_GB2312" w:eastAsia="仿宋_GB2312" w:cs="Sim Sun"/>
          <w:kern w:val="0"/>
          <w:sz w:val="32"/>
          <w:szCs w:val="32"/>
        </w:rPr>
        <w:t>标准为过期标准，则按该标准现行有效版本</w:t>
      </w:r>
      <w:r>
        <w:rPr>
          <w:rFonts w:hint="eastAsia" w:ascii="仿宋_GB2312" w:eastAsia="仿宋_GB2312" w:cs="Sim Sun"/>
          <w:kern w:val="0"/>
          <w:sz w:val="32"/>
          <w:szCs w:val="32"/>
        </w:rPr>
        <w:t>进行检验</w:t>
      </w:r>
      <w:r>
        <w:rPr>
          <w:rFonts w:ascii="仿宋_GB2312" w:eastAsia="仿宋_GB2312" w:cs="Sim Sun"/>
          <w:kern w:val="0"/>
          <w:sz w:val="32"/>
          <w:szCs w:val="32"/>
        </w:rPr>
        <w:t>判定</w:t>
      </w:r>
      <w:r>
        <w:rPr>
          <w:rFonts w:hint="eastAsia" w:ascii="仿宋_GB2312" w:eastAsia="仿宋_GB2312" w:cs="Sim Sun"/>
          <w:kern w:val="0"/>
          <w:sz w:val="32"/>
          <w:szCs w:val="32"/>
        </w:rPr>
        <w:t>。</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7 判定原则</w:t>
      </w:r>
    </w:p>
    <w:p>
      <w:pPr>
        <w:snapToGrid w:val="0"/>
        <w:spacing w:line="360" w:lineRule="auto"/>
        <w:ind w:firstLine="640" w:firstLineChars="200"/>
        <w:rPr>
          <w:rFonts w:ascii="仿宋_GB2312" w:eastAsia="仿宋_GB2312" w:cs="Sim Sun"/>
          <w:kern w:val="0"/>
          <w:sz w:val="32"/>
          <w:szCs w:val="32"/>
        </w:rPr>
      </w:pPr>
      <w:r>
        <w:rPr>
          <w:rFonts w:hint="eastAsia" w:ascii="仿宋_GB2312" w:eastAsia="仿宋_GB2312" w:cs="Sim Sun"/>
          <w:kern w:val="0"/>
          <w:sz w:val="32"/>
          <w:szCs w:val="32"/>
        </w:rPr>
        <w:t>经检验，所检样品全部项目合格，判该产品本次监督抽查结果合格；出现一项或一项以上</w:t>
      </w:r>
      <w:r>
        <w:rPr>
          <w:rFonts w:hint="eastAsia" w:ascii="仿宋_GB2312" w:hAnsi="宋体" w:eastAsia="仿宋_GB2312"/>
          <w:sz w:val="32"/>
          <w:szCs w:val="32"/>
        </w:rPr>
        <w:t>项目</w:t>
      </w:r>
      <w:r>
        <w:rPr>
          <w:rFonts w:hint="eastAsia" w:ascii="仿宋_GB2312" w:eastAsia="仿宋_GB2312" w:cs="Sim Sun"/>
          <w:kern w:val="0"/>
          <w:sz w:val="32"/>
          <w:szCs w:val="32"/>
        </w:rPr>
        <w:t>不合格，判该产品本次监督检验结果不合格。当产品没有标注执行推荐性标准，推荐性项目仅报实测值，不参与判定。</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8 异议处理复检</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.1</w:t>
      </w:r>
      <w:r>
        <w:rPr>
          <w:rFonts w:hint="eastAsia" w:ascii="仿宋_GB2312" w:eastAsia="仿宋_GB2312" w:cs="Sim Sun"/>
          <w:iCs/>
          <w:kern w:val="0"/>
          <w:sz w:val="32"/>
          <w:szCs w:val="32"/>
        </w:rPr>
        <w:t>被抽查企业在收到检验结果，对结果有异议时，</w:t>
      </w:r>
      <w:r>
        <w:rPr>
          <w:rFonts w:ascii="仿宋_GB2312" w:eastAsia="仿宋_GB2312" w:cs="Sim Sun"/>
          <w:iCs/>
          <w:kern w:val="0"/>
          <w:sz w:val="32"/>
          <w:szCs w:val="32"/>
        </w:rPr>
        <w:t>可以自收到检验结果之日起15日内向</w:t>
      </w:r>
      <w:r>
        <w:rPr>
          <w:rFonts w:hint="eastAsia" w:ascii="仿宋_GB2312" w:eastAsia="仿宋_GB2312" w:cs="Sim Sun"/>
          <w:iCs/>
          <w:kern w:val="0"/>
          <w:sz w:val="32"/>
          <w:szCs w:val="32"/>
        </w:rPr>
        <w:t>深圳市市场监督管理局</w:t>
      </w:r>
      <w:r>
        <w:rPr>
          <w:rFonts w:ascii="仿宋_GB2312" w:eastAsia="仿宋_GB2312" w:cs="Sim Sun"/>
          <w:iCs/>
          <w:kern w:val="0"/>
          <w:sz w:val="32"/>
          <w:szCs w:val="32"/>
        </w:rPr>
        <w:t>提出书面复检申请。逾期未提出异议的，视为承认检验结果。</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.2</w:t>
      </w:r>
      <w:r>
        <w:rPr>
          <w:rFonts w:ascii="仿宋_GB2312" w:eastAsia="仿宋_GB2312" w:cs="Sim Sun"/>
          <w:iCs/>
          <w:kern w:val="0"/>
          <w:sz w:val="32"/>
          <w:szCs w:val="32"/>
        </w:rPr>
        <w:t>检验机构</w:t>
      </w:r>
      <w:r>
        <w:rPr>
          <w:rFonts w:hint="eastAsia" w:ascii="仿宋_GB2312" w:eastAsia="仿宋_GB2312" w:cs="Sim Sun"/>
          <w:iCs/>
          <w:kern w:val="0"/>
          <w:sz w:val="32"/>
          <w:szCs w:val="32"/>
        </w:rPr>
        <w:t>接到深圳市市场监督管理局的复检通知后</w:t>
      </w:r>
      <w:r>
        <w:rPr>
          <w:rFonts w:ascii="仿宋_GB2312" w:eastAsia="仿宋_GB2312" w:cs="Sim Sun"/>
          <w:iCs/>
          <w:kern w:val="0"/>
          <w:sz w:val="32"/>
          <w:szCs w:val="32"/>
        </w:rPr>
        <w:t>应当按原监督抽查方案</w:t>
      </w:r>
      <w:r>
        <w:rPr>
          <w:rFonts w:hint="eastAsia" w:ascii="仿宋_GB2312" w:eastAsia="仿宋_GB2312" w:cs="Sim Sun"/>
          <w:iCs/>
          <w:kern w:val="0"/>
          <w:sz w:val="32"/>
          <w:szCs w:val="32"/>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32"/>
        </w:rPr>
        <w:t>的结论。</w:t>
      </w:r>
    </w:p>
    <w:p>
      <w:pPr>
        <w:snapToGrid w:val="0"/>
        <w:spacing w:line="360" w:lineRule="auto"/>
        <w:rPr>
          <w:rFonts w:ascii="仿宋_GB2312" w:eastAsia="仿宋_GB2312" w:cs="Sim Sun"/>
          <w:iCs/>
          <w:kern w:val="0"/>
          <w:sz w:val="32"/>
          <w:szCs w:val="32"/>
        </w:rPr>
      </w:pPr>
      <w:r>
        <w:rPr>
          <w:rFonts w:hint="eastAsia" w:ascii="仿宋_GB2312" w:eastAsia="仿宋_GB2312" w:cs="Sim Sun"/>
          <w:b/>
          <w:kern w:val="0"/>
          <w:sz w:val="32"/>
          <w:szCs w:val="32"/>
        </w:rPr>
        <w:t>8.</w:t>
      </w:r>
      <w:r>
        <w:rPr>
          <w:rFonts w:ascii="仿宋_GB2312" w:eastAsia="仿宋_GB2312" w:cs="Sim Sun"/>
          <w:b/>
          <w:kern w:val="0"/>
          <w:sz w:val="32"/>
          <w:szCs w:val="32"/>
        </w:rPr>
        <w:t>3</w:t>
      </w:r>
      <w:r>
        <w:rPr>
          <w:rFonts w:ascii="仿宋_GB2312" w:eastAsia="仿宋_GB2312" w:cs="Sim Sun"/>
          <w:iCs/>
          <w:kern w:val="0"/>
          <w:sz w:val="32"/>
          <w:szCs w:val="32"/>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32"/>
          <w:szCs w:val="32"/>
        </w:rPr>
      </w:pPr>
      <w:r>
        <w:rPr>
          <w:rFonts w:hint="eastAsia" w:ascii="仿宋_GB2312" w:eastAsia="仿宋_GB2312" w:cs="Sim Sun"/>
          <w:b/>
          <w:bCs/>
          <w:iCs/>
          <w:kern w:val="0"/>
          <w:sz w:val="32"/>
          <w:szCs w:val="32"/>
        </w:rPr>
        <w:t>8.4</w:t>
      </w:r>
      <w:r>
        <w:rPr>
          <w:rFonts w:hint="eastAsia" w:ascii="仿宋_GB2312" w:eastAsia="仿宋_GB2312" w:cs="Sim Sun"/>
          <w:iCs/>
          <w:kern w:val="0"/>
          <w:sz w:val="32"/>
          <w:szCs w:val="32"/>
        </w:rPr>
        <w:t>若复检机构与初检机构为同一家机构，则复检检验人员与初检检验人员不得为同一人（含审核人员）。</w:t>
      </w:r>
    </w:p>
    <w:p>
      <w:pPr>
        <w:snapToGrid w:val="0"/>
        <w:spacing w:line="360" w:lineRule="auto"/>
        <w:rPr>
          <w:rFonts w:ascii="仿宋_GB2312" w:eastAsia="仿宋_GB2312" w:cs="Sim Sun"/>
          <w:b/>
          <w:iCs/>
          <w:kern w:val="0"/>
          <w:sz w:val="32"/>
          <w:szCs w:val="32"/>
        </w:rPr>
      </w:pPr>
      <w:r>
        <w:rPr>
          <w:rFonts w:hint="eastAsia" w:ascii="仿宋_GB2312" w:eastAsia="仿宋_GB2312" w:cs="Sim Sun"/>
          <w:b/>
          <w:iCs/>
          <w:kern w:val="0"/>
          <w:sz w:val="32"/>
          <w:szCs w:val="32"/>
        </w:rPr>
        <w:t>8.5</w:t>
      </w:r>
      <w:r>
        <w:rPr>
          <w:rFonts w:hint="eastAsia" w:ascii="仿宋_GB2312" w:eastAsia="仿宋_GB2312" w:cs="Sim Sun"/>
          <w:iCs/>
          <w:kern w:val="0"/>
          <w:sz w:val="32"/>
          <w:szCs w:val="32"/>
        </w:rPr>
        <w:t>需对不合格项目复检时，按6.1选择复检样品。</w:t>
      </w:r>
    </w:p>
    <w:p>
      <w:pPr>
        <w:snapToGrid w:val="0"/>
        <w:spacing w:line="360" w:lineRule="auto"/>
        <w:rPr>
          <w:rFonts w:ascii="仿宋_GB2312" w:eastAsia="仿宋_GB2312" w:cs="Sim Sun"/>
          <w:iCs/>
          <w:kern w:val="0"/>
          <w:sz w:val="32"/>
          <w:szCs w:val="32"/>
        </w:rPr>
      </w:pPr>
      <w:r>
        <w:rPr>
          <w:rFonts w:hint="eastAsia" w:ascii="仿宋_GB2312" w:eastAsia="仿宋_GB2312" w:cs="Sim Sun"/>
          <w:b/>
          <w:iCs/>
          <w:kern w:val="0"/>
          <w:sz w:val="32"/>
          <w:szCs w:val="32"/>
        </w:rPr>
        <w:t>8.</w:t>
      </w:r>
      <w:r>
        <w:rPr>
          <w:rFonts w:ascii="仿宋_GB2312" w:eastAsia="仿宋_GB2312" w:cs="Sim Sun"/>
          <w:b/>
          <w:iCs/>
          <w:kern w:val="0"/>
          <w:sz w:val="32"/>
          <w:szCs w:val="32"/>
        </w:rPr>
        <w:t>6</w:t>
      </w:r>
      <w:r>
        <w:rPr>
          <w:rFonts w:hint="eastAsia" w:ascii="仿宋_GB2312" w:eastAsia="仿宋_GB2312" w:cs="Sim Sun"/>
          <w:iCs/>
          <w:kern w:val="0"/>
          <w:sz w:val="32"/>
          <w:szCs w:val="32"/>
        </w:rPr>
        <w:t>深圳市市场监督管理局根据初检</w:t>
      </w:r>
      <w:r>
        <w:rPr>
          <w:rFonts w:ascii="仿宋_GB2312" w:eastAsia="仿宋_GB2312" w:cs="Sim Sun"/>
          <w:iCs/>
          <w:kern w:val="0"/>
          <w:sz w:val="32"/>
          <w:szCs w:val="32"/>
        </w:rPr>
        <w:t>、复</w:t>
      </w:r>
      <w:r>
        <w:rPr>
          <w:rFonts w:hint="eastAsia" w:ascii="仿宋_GB2312" w:eastAsia="仿宋_GB2312" w:cs="Sim Sun"/>
          <w:iCs/>
          <w:kern w:val="0"/>
          <w:sz w:val="32"/>
          <w:szCs w:val="32"/>
        </w:rPr>
        <w:t>验</w:t>
      </w:r>
      <w:r>
        <w:rPr>
          <w:rFonts w:ascii="仿宋_GB2312" w:eastAsia="仿宋_GB2312" w:cs="Sim Sun"/>
          <w:iCs/>
          <w:kern w:val="0"/>
          <w:sz w:val="32"/>
          <w:szCs w:val="32"/>
        </w:rPr>
        <w:t>结果及企业提交的</w:t>
      </w:r>
      <w:r>
        <w:rPr>
          <w:rFonts w:hint="eastAsia" w:ascii="仿宋_GB2312" w:eastAsia="仿宋_GB2312" w:cs="Sim Sun"/>
          <w:iCs/>
          <w:kern w:val="0"/>
          <w:sz w:val="32"/>
          <w:szCs w:val="32"/>
        </w:rPr>
        <w:t>证明</w:t>
      </w:r>
      <w:r>
        <w:rPr>
          <w:rFonts w:ascii="仿宋_GB2312" w:eastAsia="仿宋_GB2312" w:cs="Sim Sun"/>
          <w:iCs/>
          <w:kern w:val="0"/>
          <w:sz w:val="32"/>
          <w:szCs w:val="32"/>
        </w:rPr>
        <w:t>材料，做出复检结论</w:t>
      </w:r>
      <w:r>
        <w:rPr>
          <w:rFonts w:hint="eastAsia" w:ascii="仿宋_GB2312" w:eastAsia="仿宋_GB2312" w:cs="Sim Sun"/>
          <w:iCs/>
          <w:kern w:val="0"/>
          <w:sz w:val="32"/>
          <w:szCs w:val="32"/>
        </w:rPr>
        <w:t>，</w:t>
      </w:r>
      <w:bookmarkStart w:id="0" w:name="_GoBack"/>
      <w:bookmarkEnd w:id="0"/>
      <w:r>
        <w:rPr>
          <w:rFonts w:ascii="仿宋_GB2312" w:eastAsia="仿宋_GB2312" w:cs="Sim Sun"/>
          <w:iCs/>
          <w:kern w:val="0"/>
          <w:sz w:val="32"/>
          <w:szCs w:val="32"/>
        </w:rPr>
        <w:t>复检结论为最终结论。</w:t>
      </w:r>
    </w:p>
    <w:p>
      <w:pPr>
        <w:snapToGrid w:val="0"/>
        <w:spacing w:line="360" w:lineRule="auto"/>
        <w:rPr>
          <w:rFonts w:ascii="仿宋_GB2312" w:hAnsi="宋体" w:eastAsia="仿宋_GB2312"/>
          <w:b/>
          <w:sz w:val="32"/>
          <w:szCs w:val="28"/>
        </w:rPr>
      </w:pPr>
      <w:r>
        <w:rPr>
          <w:rFonts w:ascii="仿宋_GB2312" w:hAnsi="宋体" w:eastAsia="仿宋_GB2312"/>
          <w:b/>
          <w:sz w:val="32"/>
          <w:szCs w:val="28"/>
        </w:rPr>
        <w:t>9</w:t>
      </w:r>
      <w:r>
        <w:rPr>
          <w:rFonts w:hint="eastAsia" w:ascii="仿宋_GB2312" w:hAnsi="宋体" w:eastAsia="仿宋_GB2312"/>
          <w:b/>
          <w:sz w:val="32"/>
          <w:szCs w:val="28"/>
        </w:rPr>
        <w:t xml:space="preserve"> 附则</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本规范编制单位：</w:t>
      </w:r>
      <w:r>
        <w:rPr>
          <w:rFonts w:hint="eastAsia" w:ascii="仿宋_GB2312" w:eastAsia="仿宋_GB2312"/>
          <w:sz w:val="32"/>
          <w:szCs w:val="28"/>
        </w:rPr>
        <w:t>深圳市计量质量检测研究院</w:t>
      </w:r>
      <w:r>
        <w:rPr>
          <w:rFonts w:hint="eastAsia" w:ascii="仿宋_GB2312" w:hAnsi="宋体" w:eastAsia="仿宋_GB2312"/>
          <w:sz w:val="32"/>
          <w:szCs w:val="28"/>
        </w:rPr>
        <w:t>。</w:t>
      </w:r>
    </w:p>
    <w:p>
      <w:pPr>
        <w:ind w:firstLine="640" w:firstLineChars="200"/>
      </w:pPr>
      <w:r>
        <w:rPr>
          <w:rFonts w:hint="eastAsia" w:ascii="仿宋_GB2312" w:hAnsi="宋体" w:eastAsia="仿宋_GB2312"/>
          <w:sz w:val="32"/>
          <w:szCs w:val="28"/>
        </w:rPr>
        <w:t>本规范由</w:t>
      </w:r>
      <w:r>
        <w:rPr>
          <w:rFonts w:hint="eastAsia" w:ascii="仿宋_GB2312" w:hAnsi="宋体" w:eastAsia="仿宋_GB2312"/>
          <w:iCs/>
          <w:sz w:val="32"/>
          <w:szCs w:val="28"/>
        </w:rPr>
        <w:t>深圳市市场监督管理局质量处</w:t>
      </w:r>
      <w:r>
        <w:rPr>
          <w:rFonts w:hint="eastAsia" w:ascii="仿宋_GB2312" w:hAnsi="宋体" w:eastAsia="仿宋_GB2312"/>
          <w:sz w:val="32"/>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40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2020-07-15T02:23:47Z</dcterms:created>
  <dc:creator>changmy</dc:creator>
  <cp:lastModifiedBy>常孟园</cp:lastModifiedBy>
  <dcterms:modified xsi:type="dcterms:W3CDTF">2020-07-15T02:24:30Z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