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28"/>
          <w:szCs w:val="28"/>
        </w:rPr>
      </w:pPr>
      <w:r>
        <w:rPr>
          <w:rFonts w:hint="eastAsia" w:ascii="黑体" w:hAnsi="宋体" w:eastAsia="黑体"/>
          <w:sz w:val="28"/>
          <w:szCs w:val="28"/>
        </w:rPr>
        <w:t>附件</w:t>
      </w:r>
      <w:r>
        <w:rPr>
          <w:rFonts w:ascii="黑体" w:hAnsi="宋体" w:eastAsia="黑体"/>
          <w:sz w:val="28"/>
          <w:szCs w:val="28"/>
        </w:rPr>
        <w:t>2</w:t>
      </w:r>
    </w:p>
    <w:p>
      <w:pPr>
        <w:rPr>
          <w:rFonts w:ascii="黑体" w:hAnsi="宋体" w:eastAsia="黑体"/>
          <w:sz w:val="28"/>
          <w:szCs w:val="28"/>
        </w:rPr>
      </w:pPr>
    </w:p>
    <w:p>
      <w:pPr>
        <w:spacing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line="360" w:lineRule="auto"/>
        <w:jc w:val="center"/>
        <w:rPr>
          <w:rFonts w:ascii="黑体" w:hAnsi="黑体" w:eastAsia="黑体"/>
          <w:sz w:val="36"/>
          <w:szCs w:val="36"/>
        </w:rPr>
      </w:pPr>
      <w:r>
        <w:rPr>
          <w:rFonts w:hint="eastAsia" w:ascii="黑体" w:hAnsi="黑体" w:eastAsia="黑体"/>
          <w:sz w:val="36"/>
          <w:szCs w:val="36"/>
        </w:rPr>
        <w:t>便携式电子产品用锂离子电池和电池组产品</w:t>
      </w:r>
    </w:p>
    <w:p>
      <w:pPr>
        <w:spacing w:line="360" w:lineRule="auto"/>
        <w:jc w:val="center"/>
        <w:rPr>
          <w:rFonts w:ascii="黑体" w:hAnsi="黑体" w:eastAsia="黑体"/>
          <w:sz w:val="36"/>
          <w:szCs w:val="36"/>
        </w:rPr>
      </w:pPr>
      <w:r>
        <w:rPr>
          <w:rFonts w:hint="eastAsia" w:ascii="黑体" w:hAnsi="黑体" w:eastAsia="黑体"/>
          <w:sz w:val="36"/>
          <w:szCs w:val="36"/>
        </w:rPr>
        <w:t>质量监督抽查实施规范</w:t>
      </w:r>
    </w:p>
    <w:p>
      <w:pPr>
        <w:spacing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：CCGF-SZ-114-</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本规范适用于深圳市生产及流通领域便携式电子产品用锂离子电池和电池组产品质量监督抽查。不适用于：非便携式电子产品用锂离子电池和电池组产品等。</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3"/>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6" w:type="dxa"/>
            <w:noWrap w:val="0"/>
            <w:vAlign w:val="center"/>
          </w:tcPr>
          <w:p>
            <w:pPr>
              <w:tabs>
                <w:tab w:val="left" w:pos="4680"/>
              </w:tabs>
              <w:spacing w:line="320" w:lineRule="exact"/>
              <w:jc w:val="center"/>
              <w:rPr>
                <w:rFonts w:ascii="黑体" w:hAnsi="宋体" w:eastAsia="黑体"/>
                <w:sz w:val="24"/>
              </w:rPr>
            </w:pPr>
            <w:r>
              <w:rPr>
                <w:rFonts w:hint="eastAsia" w:ascii="黑体" w:hAnsi="宋体" w:eastAsia="黑体"/>
                <w:sz w:val="24"/>
              </w:rPr>
              <w:t>产品种类</w:t>
            </w:r>
          </w:p>
        </w:tc>
        <w:tc>
          <w:tcPr>
            <w:tcW w:w="5812" w:type="dxa"/>
            <w:noWrap w:val="0"/>
            <w:vAlign w:val="center"/>
          </w:tcPr>
          <w:p>
            <w:pPr>
              <w:tabs>
                <w:tab w:val="left" w:pos="4680"/>
              </w:tabs>
              <w:spacing w:line="320" w:lineRule="exact"/>
              <w:jc w:val="center"/>
              <w:rPr>
                <w:rFonts w:ascii="黑体" w:hAnsi="宋体" w:eastAsia="黑体"/>
                <w:sz w:val="24"/>
              </w:rPr>
            </w:pPr>
            <w:r>
              <w:rPr>
                <w:rFonts w:hint="eastAsia" w:ascii="黑体" w:hAnsi="宋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6"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便携式办公产品用锂离子电池和电池组</w:t>
            </w:r>
          </w:p>
        </w:tc>
        <w:tc>
          <w:tcPr>
            <w:tcW w:w="5812"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笔记本电脑电池、PDA电池等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6"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移动通信产品用锂离子电池和电池组</w:t>
            </w:r>
          </w:p>
        </w:tc>
        <w:tc>
          <w:tcPr>
            <w:tcW w:w="5812"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手机电池、无绳电话电池、蓝牙耳机电池、对讲机电池等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6"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便携式音/视频产品用锂离子电池和电池组</w:t>
            </w:r>
          </w:p>
        </w:tc>
        <w:tc>
          <w:tcPr>
            <w:tcW w:w="5812"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便携式电视机电池、便携式DVD播放器电池、蓝牙音箱电池、MP3/MP4播放器电池、照相机电池、摄像机电池、录音笔电池，智能穿戴式设备电池。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6"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其他便携式产品用锂离子电池和电池组</w:t>
            </w:r>
          </w:p>
        </w:tc>
        <w:tc>
          <w:tcPr>
            <w:tcW w:w="5812"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电子导航器电池、数码相框电池、游戏机电池、电子书电池、移动电源用电池。</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3"/>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30"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6237"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0"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锂离子电池</w:t>
            </w:r>
          </w:p>
        </w:tc>
        <w:tc>
          <w:tcPr>
            <w:tcW w:w="623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含有锂离子的能够直接将化学能转化为电能的装置。该装置包括电极、隔膜、电解质、容器和端子等，并被设计成可充电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0"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锂离子电池组</w:t>
            </w:r>
          </w:p>
        </w:tc>
        <w:tc>
          <w:tcPr>
            <w:tcW w:w="623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由任意数量的锂离子电池组合而成且准备使用的组合体。该组合体包括适当的封装材料、连接器,也可能含有电子控制装置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0"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便携式电子产品</w:t>
            </w:r>
          </w:p>
        </w:tc>
        <w:tc>
          <w:tcPr>
            <w:tcW w:w="623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不超过18kg的预定可由使用人员经常携带的移动式电子产品</w:t>
            </w:r>
          </w:p>
        </w:tc>
      </w:tr>
    </w:tbl>
    <w:p>
      <w:pPr>
        <w:snapToGrid w:val="0"/>
        <w:ind w:firstLine="140" w:firstLineChars="50"/>
        <w:rPr>
          <w:rFonts w:ascii="黑体" w:hAnsi="黑体" w:eastAsia="黑体"/>
          <w:sz w:val="28"/>
          <w:szCs w:val="28"/>
        </w:rPr>
      </w:pPr>
      <w:r>
        <w:rPr>
          <w:rFonts w:hint="eastAsia" w:ascii="仿宋_GB2312" w:hAnsi="宋体" w:eastAsia="仿宋_GB2312"/>
          <w:sz w:val="28"/>
          <w:szCs w:val="28"/>
        </w:rPr>
        <w:t>本规范中未列出的术语和定义同相关引用标准。</w:t>
      </w:r>
    </w:p>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 31241-2014</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《便携式电子产品用锂离子电池和电池组安全要求》</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ind w:firstLine="562" w:firstLineChars="200"/>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在流通领域抽样可在实体店以及网络交易平台两种途径获得样品。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rPr>
          <w:rFonts w:ascii="仿宋_GB2312" w:eastAsia="仿宋_GB2312"/>
          <w:sz w:val="28"/>
          <w:szCs w:val="28"/>
        </w:rPr>
      </w:pPr>
      <w:r>
        <w:rPr>
          <w:rFonts w:hint="eastAsia" w:ascii="仿宋_GB2312" w:eastAsia="仿宋_GB2312"/>
          <w:sz w:val="28"/>
          <w:szCs w:val="28"/>
        </w:rPr>
        <w:t>抽取样品的数量不得超过检验、复检的合理需要，具体数量见表4。</w:t>
      </w:r>
    </w:p>
    <w:p>
      <w:pPr>
        <w:snapToGrid w:val="0"/>
        <w:spacing w:line="360" w:lineRule="auto"/>
        <w:jc w:val="center"/>
        <w:rPr>
          <w:rFonts w:ascii="黑体" w:hAnsi="宋体" w:eastAsia="黑体"/>
          <w:sz w:val="28"/>
          <w:szCs w:val="28"/>
        </w:rPr>
      </w:pPr>
      <w:r>
        <w:rPr>
          <w:rFonts w:hint="eastAsia" w:ascii="黑体" w:hAnsi="宋体" w:eastAsia="黑体"/>
          <w:sz w:val="28"/>
          <w:szCs w:val="28"/>
        </w:rPr>
        <w:t>表4 每批次样品数量要求</w:t>
      </w:r>
    </w:p>
    <w:tbl>
      <w:tblPr>
        <w:tblStyle w:val="3"/>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971"/>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55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类别</w:t>
            </w:r>
          </w:p>
        </w:tc>
        <w:tc>
          <w:tcPr>
            <w:tcW w:w="1971"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检验样品数量</w:t>
            </w:r>
          </w:p>
        </w:tc>
        <w:tc>
          <w:tcPr>
            <w:tcW w:w="197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备用样品数量</w:t>
            </w:r>
          </w:p>
        </w:tc>
        <w:tc>
          <w:tcPr>
            <w:tcW w:w="197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52" w:type="dxa"/>
            <w:noWrap w:val="0"/>
            <w:vAlign w:val="center"/>
          </w:tcPr>
          <w:p>
            <w:pPr>
              <w:spacing w:before="50" w:line="360" w:lineRule="auto"/>
              <w:jc w:val="center"/>
              <w:rPr>
                <w:rFonts w:ascii="仿宋_GB2312" w:hAnsi="宋体" w:eastAsia="仿宋_GB2312"/>
                <w:sz w:val="24"/>
              </w:rPr>
            </w:pPr>
            <w:r>
              <w:rPr>
                <w:rFonts w:hint="eastAsia" w:ascii="黑体" w:hAnsi="宋体" w:eastAsia="黑体"/>
                <w:sz w:val="24"/>
              </w:rPr>
              <w:t>锂离子电池（电芯）</w:t>
            </w:r>
          </w:p>
        </w:tc>
        <w:tc>
          <w:tcPr>
            <w:tcW w:w="197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27个电池</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15个电池</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42个电池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52" w:type="dxa"/>
            <w:noWrap w:val="0"/>
            <w:vAlign w:val="center"/>
          </w:tcPr>
          <w:p>
            <w:pPr>
              <w:spacing w:before="50" w:line="360" w:lineRule="auto"/>
              <w:jc w:val="center"/>
              <w:rPr>
                <w:rFonts w:ascii="仿宋_GB2312" w:hAnsi="宋体" w:eastAsia="仿宋_GB2312"/>
                <w:sz w:val="24"/>
              </w:rPr>
            </w:pPr>
            <w:r>
              <w:rPr>
                <w:rFonts w:hint="eastAsia" w:ascii="黑体" w:hAnsi="宋体" w:eastAsia="黑体"/>
                <w:sz w:val="24"/>
              </w:rPr>
              <w:t>锂离子电池组</w:t>
            </w:r>
          </w:p>
        </w:tc>
        <w:tc>
          <w:tcPr>
            <w:tcW w:w="197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27电池、33个电池组</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15个电池、15个电池组</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42个电池、48个电池组</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在生产领域随机抽取的同一规格型号样品，检验样品带回承检机构，备用样品封存于承检机构；</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在流通领域（实体店）随机抽取的同一规格型号样品，检验样品带回承检机构，备用样品封存于受检单位；</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在流通领域（网络交易平台）随机抽取的同一规格型号样品，检验样品带回承检机构，备用样品封存于承检机构。</w:t>
      </w:r>
    </w:p>
    <w:p>
      <w:pPr>
        <w:snapToGrid w:val="0"/>
        <w:spacing w:line="360" w:lineRule="auto"/>
        <w:rPr>
          <w:rFonts w:ascii="仿宋_GB2312" w:hAnsi="宋体" w:eastAsia="仿宋_GB2312"/>
          <w:b/>
          <w:bCs/>
          <w:sz w:val="28"/>
          <w:szCs w:val="28"/>
        </w:rPr>
      </w:pPr>
      <w:r>
        <w:rPr>
          <w:rFonts w:hint="eastAsia" w:ascii="仿宋_GB2312" w:hAnsi="宋体" w:eastAsia="仿宋_GB2312"/>
          <w:b/>
          <w:bCs/>
          <w:sz w:val="28"/>
          <w:szCs w:val="28"/>
        </w:rPr>
        <w:t>5</w:t>
      </w:r>
      <w:r>
        <w:rPr>
          <w:rFonts w:ascii="仿宋_GB2312" w:hAnsi="宋体" w:eastAsia="仿宋_GB2312"/>
          <w:b/>
          <w:bCs/>
          <w:sz w:val="28"/>
          <w:szCs w:val="28"/>
        </w:rPr>
        <w:t>.5</w:t>
      </w:r>
      <w:r>
        <w:rPr>
          <w:rFonts w:hint="eastAsia" w:ascii="仿宋_GB2312" w:hAnsi="宋体" w:eastAsia="仿宋_GB2312"/>
          <w:b/>
          <w:bCs/>
          <w:sz w:val="28"/>
          <w:szCs w:val="28"/>
        </w:rPr>
        <w:t>取样要求</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 xml:space="preserve"> 样品处置</w:t>
      </w:r>
    </w:p>
    <w:p>
      <w:pPr>
        <w:spacing w:line="360" w:lineRule="auto"/>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.3</w:t>
      </w:r>
      <w:r>
        <w:rPr>
          <w:rFonts w:hint="eastAsia" w:ascii="仿宋_GB2312" w:eastAsia="仿宋_GB2312"/>
          <w:sz w:val="28"/>
          <w:szCs w:val="28"/>
        </w:rPr>
        <w:t>抽取</w:t>
      </w:r>
      <w:r>
        <w:rPr>
          <w:rFonts w:hint="eastAsia" w:ascii="仿宋_GB2312" w:hAnsi="宋体" w:eastAsia="仿宋_GB2312"/>
          <w:sz w:val="28"/>
          <w:szCs w:val="28"/>
        </w:rPr>
        <w:t>便携式电子产品用锂离子电池和电池组</w:t>
      </w:r>
      <w:r>
        <w:rPr>
          <w:rFonts w:hint="eastAsia" w:ascii="仿宋_GB2312" w:eastAsia="仿宋_GB2312"/>
          <w:sz w:val="28"/>
          <w:szCs w:val="28"/>
        </w:rPr>
        <w:t>产品时，需要抽取附件的产品附件包括说明书、保修卡、委托方要求的技术协议等。</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7</w:t>
      </w:r>
      <w:r>
        <w:rPr>
          <w:rFonts w:hint="eastAsia" w:ascii="仿宋_GB2312" w:hAnsi="宋体" w:eastAsia="仿宋_GB2312"/>
          <w:b/>
          <w:sz w:val="28"/>
          <w:szCs w:val="28"/>
        </w:rPr>
        <w:t xml:space="preserve">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360" w:lineRule="auto"/>
        <w:jc w:val="center"/>
        <w:rPr>
          <w:rFonts w:hint="eastAsia" w:ascii="黑体" w:hAnsi="宋体" w:eastAsia="黑体"/>
          <w:sz w:val="28"/>
          <w:szCs w:val="28"/>
        </w:rPr>
      </w:pPr>
      <w:r>
        <w:rPr>
          <w:rFonts w:hint="eastAsia" w:ascii="黑体" w:hAnsi="宋体" w:eastAsia="黑体"/>
          <w:sz w:val="28"/>
          <w:szCs w:val="28"/>
        </w:rPr>
        <w:t>表5  便携式电子产品用锂离子电池产品检验项目、依据及</w:t>
      </w:r>
    </w:p>
    <w:p>
      <w:pPr>
        <w:snapToGrid w:val="0"/>
        <w:spacing w:line="360" w:lineRule="auto"/>
        <w:jc w:val="center"/>
        <w:rPr>
          <w:rFonts w:ascii="黑体" w:hAnsi="宋体" w:eastAsia="黑体"/>
          <w:sz w:val="28"/>
          <w:szCs w:val="28"/>
        </w:rPr>
      </w:pPr>
      <w:r>
        <w:rPr>
          <w:rFonts w:hint="eastAsia" w:ascii="黑体" w:hAnsi="宋体" w:eastAsia="黑体"/>
          <w:sz w:val="28"/>
          <w:szCs w:val="28"/>
        </w:rPr>
        <w:t>方法等要求</w:t>
      </w:r>
    </w:p>
    <w:tbl>
      <w:tblPr>
        <w:tblStyle w:val="3"/>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2096"/>
        <w:gridCol w:w="2126"/>
        <w:gridCol w:w="1276"/>
        <w:gridCol w:w="212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3"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09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126"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27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12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188"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*电池容量测试</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第4.7.3条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第4.7.3条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安全工作参数</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第5.2条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标识要求</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第5.3.1条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第5.3.1条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常温外部短路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第6.1条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第6.1条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高温外部短路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第6.2条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第6.2条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*过充电</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第6.3条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第6.3条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*强制放电</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第6.4条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第6.4条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低气压</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第7.1条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第7.1条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温度循环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第7.2条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振动</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第7.3条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加速度冲击</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第7.4条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第7.4条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跌落</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第7.5条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第7.5条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挤压</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第7.6条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第7.6条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重物冲击</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第7.7条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第7.7条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热滥用</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第7.8条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第7.8条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09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*燃烧喷射</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第7.9条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第7.9条</w:t>
            </w:r>
          </w:p>
        </w:tc>
        <w:tc>
          <w:tcPr>
            <w:tcW w:w="118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5" w:type="dxa"/>
            <w:gridSpan w:val="6"/>
            <w:noWrap w:val="0"/>
            <w:vAlign w:val="center"/>
          </w:tcPr>
          <w:p>
            <w:pPr>
              <w:snapToGrid w:val="0"/>
              <w:spacing w:line="340" w:lineRule="exact"/>
              <w:rPr>
                <w:rFonts w:ascii="仿宋_GB2312" w:hAnsi="宋体" w:eastAsia="仿宋_GB2312"/>
                <w:sz w:val="24"/>
              </w:rPr>
            </w:pPr>
            <w:r>
              <w:rPr>
                <w:rFonts w:hint="eastAsia" w:ascii="仿宋_GB2312" w:hAnsi="宋体" w:eastAsia="仿宋_GB2312"/>
                <w:sz w:val="24"/>
              </w:rPr>
              <w:t>注：</w:t>
            </w:r>
          </w:p>
          <w:p>
            <w:pPr>
              <w:snapToGrid w:val="0"/>
              <w:spacing w:line="340" w:lineRule="exact"/>
              <w:rPr>
                <w:rFonts w:ascii="仿宋_GB2312" w:hAnsi="宋体" w:eastAsia="仿宋_GB2312"/>
                <w:sz w:val="24"/>
              </w:rPr>
            </w:pPr>
            <w:r>
              <w:rPr>
                <w:rFonts w:hint="eastAsia" w:ascii="仿宋_GB2312" w:hAnsi="宋体" w:eastAsia="仿宋_GB2312"/>
                <w:sz w:val="24"/>
              </w:rPr>
              <w:t>1.带“*”的项目需要厂商提供“安全工作参数”才能完成。</w:t>
            </w:r>
          </w:p>
          <w:p>
            <w:pPr>
              <w:snapToGrid w:val="0"/>
              <w:spacing w:line="340" w:lineRule="exact"/>
              <w:rPr>
                <w:rFonts w:ascii="仿宋_GB2312" w:hAnsi="宋体" w:eastAsia="仿宋_GB2312"/>
                <w:sz w:val="24"/>
              </w:rPr>
            </w:pPr>
            <w:r>
              <w:rPr>
                <w:rFonts w:hint="eastAsia" w:ascii="仿宋_GB2312" w:hAnsi="宋体" w:eastAsia="仿宋_GB2312"/>
                <w:sz w:val="24"/>
              </w:rPr>
              <w:t>2.第14项“重物冲击”，仅适用于非软包电池。</w:t>
            </w:r>
          </w:p>
        </w:tc>
      </w:tr>
    </w:tbl>
    <w:p>
      <w:pPr>
        <w:snapToGrid w:val="0"/>
        <w:spacing w:line="360" w:lineRule="auto"/>
        <w:jc w:val="center"/>
        <w:rPr>
          <w:rFonts w:ascii="黑体" w:hAnsi="宋体" w:eastAsia="黑体"/>
          <w:sz w:val="28"/>
          <w:szCs w:val="28"/>
        </w:rPr>
      </w:pPr>
    </w:p>
    <w:p>
      <w:pPr>
        <w:snapToGrid w:val="0"/>
        <w:spacing w:line="360" w:lineRule="auto"/>
        <w:jc w:val="center"/>
        <w:rPr>
          <w:rFonts w:ascii="黑体" w:hAnsi="宋体" w:eastAsia="黑体"/>
          <w:sz w:val="28"/>
          <w:szCs w:val="28"/>
        </w:rPr>
      </w:pPr>
      <w:r>
        <w:rPr>
          <w:rFonts w:hint="eastAsia" w:ascii="黑体" w:hAnsi="宋体" w:eastAsia="黑体"/>
          <w:sz w:val="28"/>
          <w:szCs w:val="28"/>
        </w:rPr>
        <w:t>表6便携式电子产品用锂离子电池组产品检验项目、依据及方法等要求</w:t>
      </w:r>
    </w:p>
    <w:tbl>
      <w:tblPr>
        <w:tblStyle w:val="3"/>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091"/>
        <w:gridCol w:w="2126"/>
        <w:gridCol w:w="1276"/>
        <w:gridCol w:w="209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84"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091"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126"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27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091"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219"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*电池组用电芯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（满足</w:t>
            </w:r>
            <w:r>
              <w:rPr>
                <w:rFonts w:hint="eastAsia" w:ascii="仿宋_GB2312" w:hAnsi="宋体" w:eastAsia="仿宋_GB2312"/>
                <w:b/>
                <w:sz w:val="24"/>
                <w:szCs w:val="24"/>
              </w:rPr>
              <w:t>表5</w:t>
            </w:r>
            <w:r>
              <w:rPr>
                <w:rFonts w:hint="eastAsia" w:ascii="仿宋_GB2312" w:hAnsi="宋体" w:eastAsia="仿宋_GB2312"/>
                <w:sz w:val="24"/>
                <w:szCs w:val="24"/>
              </w:rPr>
              <w:t>要求）</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安全工作参数</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第5.2条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标识要求</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第5.3.1条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第5.3.1条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警示说明</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第5.3.2条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第5.3.2条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耐久性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第5.3.3条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第5.3.3条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*低气压</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第8.1条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第8.1条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*温度循环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第8.2条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*振动</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第8.3条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*加速度冲击</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第8.4条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第8.4条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*跌落</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第8.5条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第8.5条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应力消除</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第8.6条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第8.6条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*高温使用</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第8.7条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第8.7条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洗涤</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第8.8条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第8.8条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阻燃要求</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第8.9条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第8.9条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*过压充电</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第9.2条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*过流充电</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第9.3条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*欠压放电</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第9.4条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第9.4条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*过载</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第9.5条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第9.5条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*外部短路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第9.6条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第9.6条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*反向充电</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第9.7条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第9.7条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*过压充电保护</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第10.2条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*过流充电保护</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第10.3条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*欠压放电保护</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第10.4条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第10.4条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*过载保护</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第10.5条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第10.5条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*短路保护</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第10.6条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第10.6条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*耐高压</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第10.7条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第10.7条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*静电放电</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第10.8条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第10.8条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28</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*充电电压控制</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第11.2条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*充电电流控制</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第11.3条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*放电电压控制</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第11.4条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第11.4条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31</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*放电电流控制</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第11.5条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第11.5条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32</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*充放电温度控制</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第11.6条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9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第11.6条</w:t>
            </w:r>
          </w:p>
        </w:tc>
        <w:tc>
          <w:tcPr>
            <w:tcW w:w="121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snapToGrid w:val="0"/>
              <w:spacing w:line="340" w:lineRule="exact"/>
              <w:rPr>
                <w:rFonts w:ascii="仿宋_GB2312" w:hAnsi="宋体" w:eastAsia="仿宋_GB2312"/>
                <w:sz w:val="24"/>
              </w:rPr>
            </w:pPr>
            <w:r>
              <w:rPr>
                <w:rFonts w:hint="eastAsia" w:ascii="仿宋_GB2312" w:hAnsi="宋体" w:eastAsia="仿宋_GB2312"/>
                <w:sz w:val="24"/>
              </w:rPr>
              <w:t>注：</w:t>
            </w:r>
          </w:p>
          <w:p>
            <w:pPr>
              <w:snapToGrid w:val="0"/>
              <w:spacing w:line="340" w:lineRule="exact"/>
              <w:rPr>
                <w:rFonts w:ascii="仿宋_GB2312" w:hAnsi="宋体" w:eastAsia="仿宋_GB2312"/>
                <w:sz w:val="24"/>
              </w:rPr>
            </w:pPr>
            <w:r>
              <w:rPr>
                <w:rFonts w:hint="eastAsia" w:ascii="仿宋_GB2312" w:hAnsi="宋体" w:eastAsia="仿宋_GB2312"/>
                <w:sz w:val="24"/>
              </w:rPr>
              <w:t>1.带“*”的项目需要厂商提供“安全工作参数”才能完成。</w:t>
            </w:r>
          </w:p>
          <w:p>
            <w:pPr>
              <w:snapToGrid w:val="0"/>
              <w:spacing w:line="340" w:lineRule="exact"/>
              <w:rPr>
                <w:rFonts w:ascii="仿宋_GB2312" w:hAnsi="宋体" w:eastAsia="仿宋_GB2312"/>
                <w:sz w:val="24"/>
              </w:rPr>
            </w:pPr>
            <w:r>
              <w:rPr>
                <w:rFonts w:hint="eastAsia" w:ascii="仿宋_GB2312" w:hAnsi="宋体" w:eastAsia="仿宋_GB2312"/>
                <w:sz w:val="24"/>
              </w:rPr>
              <w:t>2.电池组所用电芯必须满足</w:t>
            </w:r>
            <w:r>
              <w:rPr>
                <w:rFonts w:hint="eastAsia" w:ascii="仿宋_GB2312" w:hAnsi="宋体" w:eastAsia="仿宋_GB2312"/>
                <w:b/>
                <w:sz w:val="24"/>
              </w:rPr>
              <w:t>“表5”</w:t>
            </w:r>
            <w:r>
              <w:rPr>
                <w:rFonts w:hint="eastAsia" w:ascii="仿宋_GB2312" w:hAnsi="宋体" w:eastAsia="仿宋_GB2312"/>
                <w:sz w:val="24"/>
              </w:rPr>
              <w:t>所列检测项目的要求。</w:t>
            </w:r>
          </w:p>
          <w:p>
            <w:pPr>
              <w:snapToGrid w:val="0"/>
              <w:spacing w:line="340" w:lineRule="exact"/>
              <w:rPr>
                <w:rFonts w:ascii="仿宋_GB2312" w:hAnsi="宋体" w:eastAsia="仿宋_GB2312"/>
                <w:sz w:val="24"/>
              </w:rPr>
            </w:pPr>
            <w:r>
              <w:rPr>
                <w:rFonts w:hint="eastAsia" w:ascii="仿宋_GB2312" w:hAnsi="宋体" w:eastAsia="仿宋_GB2312"/>
                <w:sz w:val="24"/>
              </w:rPr>
              <w:t>3.第</w:t>
            </w:r>
            <w:r>
              <w:rPr>
                <w:rFonts w:hint="eastAsia" w:ascii="仿宋_GB2312" w:hAnsi="宋体" w:eastAsia="仿宋_GB2312"/>
                <w:b/>
                <w:sz w:val="24"/>
              </w:rPr>
              <w:t>“</w:t>
            </w:r>
            <w:r>
              <w:rPr>
                <w:rFonts w:hint="eastAsia" w:eastAsia="仿宋_GB2312"/>
                <w:b/>
                <w:sz w:val="24"/>
              </w:rPr>
              <w:t>15</w:t>
            </w:r>
            <w:r>
              <w:rPr>
                <w:rFonts w:hint="eastAsia" w:ascii="Arial Unicode MS" w:hAnsi="Arial Unicode MS" w:eastAsia="Arial Unicode MS" w:cs="Arial Unicode MS"/>
                <w:b/>
                <w:sz w:val="24"/>
              </w:rPr>
              <w:t>～</w:t>
            </w:r>
            <w:r>
              <w:rPr>
                <w:rFonts w:hint="eastAsia" w:eastAsia="仿宋_GB2312"/>
                <w:b/>
                <w:sz w:val="24"/>
              </w:rPr>
              <w:t>27项</w:t>
            </w:r>
            <w:r>
              <w:rPr>
                <w:rFonts w:hint="eastAsia" w:ascii="仿宋_GB2312" w:hAnsi="宋体" w:eastAsia="仿宋_GB2312"/>
                <w:b/>
                <w:sz w:val="24"/>
              </w:rPr>
              <w:t>”</w:t>
            </w:r>
            <w:r>
              <w:rPr>
                <w:rFonts w:hint="eastAsia" w:ascii="仿宋_GB2312" w:hAnsi="宋体" w:eastAsia="仿宋_GB2312"/>
                <w:sz w:val="24"/>
              </w:rPr>
              <w:t>仅适用于</w:t>
            </w:r>
            <w:r>
              <w:rPr>
                <w:rFonts w:hint="eastAsia" w:ascii="仿宋_GB2312" w:hAnsi="宋体" w:eastAsia="仿宋_GB2312"/>
                <w:b/>
                <w:sz w:val="24"/>
              </w:rPr>
              <w:t>“自身带保护电路的电池组”</w:t>
            </w:r>
            <w:r>
              <w:rPr>
                <w:rFonts w:hint="eastAsia" w:ascii="仿宋_GB2312" w:hAnsi="宋体" w:eastAsia="仿宋_GB2312"/>
                <w:sz w:val="24"/>
              </w:rPr>
              <w:t xml:space="preserve"> 。</w:t>
            </w:r>
          </w:p>
          <w:p>
            <w:pPr>
              <w:snapToGrid w:val="0"/>
              <w:spacing w:line="340" w:lineRule="exact"/>
              <w:rPr>
                <w:rFonts w:ascii="仿宋_GB2312" w:hAnsi="宋体" w:eastAsia="仿宋_GB2312"/>
                <w:sz w:val="24"/>
              </w:rPr>
            </w:pPr>
            <w:r>
              <w:rPr>
                <w:rFonts w:hint="eastAsia" w:ascii="仿宋_GB2312" w:hAnsi="宋体" w:eastAsia="仿宋_GB2312"/>
                <w:sz w:val="24"/>
              </w:rPr>
              <w:t>4.第</w:t>
            </w:r>
            <w:r>
              <w:rPr>
                <w:rFonts w:hint="eastAsia" w:ascii="仿宋_GB2312" w:hAnsi="宋体" w:eastAsia="仿宋_GB2312"/>
                <w:b/>
                <w:sz w:val="24"/>
              </w:rPr>
              <w:t>“</w:t>
            </w:r>
            <w:r>
              <w:rPr>
                <w:rFonts w:eastAsia="仿宋_GB2312"/>
                <w:b/>
                <w:sz w:val="24"/>
              </w:rPr>
              <w:t>2</w:t>
            </w:r>
            <w:r>
              <w:rPr>
                <w:rFonts w:hint="eastAsia" w:eastAsia="仿宋_GB2312"/>
                <w:b/>
                <w:sz w:val="24"/>
              </w:rPr>
              <w:t>8</w:t>
            </w:r>
            <w:r>
              <w:rPr>
                <w:rFonts w:hint="eastAsia" w:ascii="Arial Unicode MS" w:hAnsi="Arial Unicode MS" w:eastAsia="Arial Unicode MS" w:cs="Arial Unicode MS"/>
                <w:b/>
                <w:sz w:val="24"/>
              </w:rPr>
              <w:t>～3</w:t>
            </w:r>
            <w:r>
              <w:rPr>
                <w:rFonts w:hint="eastAsia" w:eastAsia="仿宋_GB2312"/>
                <w:b/>
                <w:sz w:val="24"/>
              </w:rPr>
              <w:t>2项</w:t>
            </w:r>
            <w:r>
              <w:rPr>
                <w:rFonts w:hint="eastAsia" w:ascii="仿宋_GB2312" w:hAnsi="宋体" w:eastAsia="仿宋_GB2312"/>
                <w:b/>
                <w:sz w:val="24"/>
              </w:rPr>
              <w:t>”</w:t>
            </w:r>
            <w:r>
              <w:rPr>
                <w:rFonts w:hint="eastAsia" w:ascii="仿宋_GB2312" w:hAnsi="宋体" w:eastAsia="仿宋_GB2312"/>
                <w:sz w:val="24"/>
              </w:rPr>
              <w:t>仅适用于</w:t>
            </w:r>
            <w:r>
              <w:rPr>
                <w:rFonts w:hint="eastAsia" w:ascii="仿宋_GB2312" w:hAnsi="宋体" w:eastAsia="仿宋_GB2312"/>
                <w:b/>
                <w:sz w:val="24"/>
              </w:rPr>
              <w:t>“自身不带保护电路但在其充电器或游其供电的电子产品中带有保护电路的电池组或电池”</w:t>
            </w:r>
            <w:r>
              <w:rPr>
                <w:rFonts w:hint="eastAsia" w:ascii="仿宋_GB2312" w:hAnsi="宋体" w:eastAsia="仿宋_GB2312"/>
                <w:sz w:val="24"/>
              </w:rPr>
              <w:t xml:space="preserve"> 。</w:t>
            </w:r>
          </w:p>
        </w:tc>
      </w:tr>
    </w:tbl>
    <w:p>
      <w:pPr>
        <w:snapToGrid w:val="0"/>
        <w:spacing w:line="360" w:lineRule="auto"/>
        <w:jc w:val="center"/>
        <w:rPr>
          <w:rFonts w:ascii="黑体" w:hAnsi="宋体" w:eastAsia="黑体"/>
          <w:sz w:val="28"/>
          <w:szCs w:val="28"/>
        </w:rPr>
      </w:pPr>
    </w:p>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ascii="仿宋_GB2312" w:eastAsia="仿宋_GB2312" w:cs="Sim Sun"/>
          <w:b/>
          <w:kern w:val="0"/>
          <w:sz w:val="28"/>
          <w:szCs w:val="28"/>
        </w:rPr>
        <w:t>6.2.1</w:t>
      </w:r>
      <w:r>
        <w:rPr>
          <w:rFonts w:ascii="仿宋_GB2312" w:eastAsia="仿宋_GB2312" w:cs="Sim Sun"/>
          <w:kern w:val="0"/>
          <w:sz w:val="28"/>
          <w:szCs w:val="28"/>
        </w:rPr>
        <w:t xml:space="preserve"> </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28"/>
          <w:szCs w:val="28"/>
        </w:rPr>
      </w:pPr>
      <w:r>
        <w:rPr>
          <w:rFonts w:ascii="仿宋_GB2312" w:eastAsia="仿宋_GB2312" w:cs="Sim Sun"/>
          <w:b/>
          <w:bCs/>
          <w:kern w:val="0"/>
          <w:sz w:val="28"/>
          <w:szCs w:val="28"/>
        </w:rPr>
        <w:t>6.2.4</w:t>
      </w:r>
      <w:r>
        <w:rPr>
          <w:rFonts w:ascii="仿宋_GB2312" w:eastAsia="仿宋_GB2312" w:cs="Sim Sun"/>
          <w:kern w:val="0"/>
          <w:sz w:val="28"/>
          <w:szCs w:val="28"/>
        </w:rPr>
        <w:t xml:space="preserve"> </w:t>
      </w:r>
      <w:r>
        <w:rPr>
          <w:rFonts w:hint="eastAsia" w:ascii="仿宋_GB2312" w:eastAsia="仿宋_GB2312" w:cs="Sim Sun"/>
          <w:kern w:val="0"/>
          <w:sz w:val="28"/>
          <w:szCs w:val="28"/>
        </w:rPr>
        <w:t>若被检产品明示的质量要求低于或包含本规范中检验项目依据的推荐性标准要求时，应以被检产品明示的质量要求判定。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bCs/>
          <w:kern w:val="0"/>
          <w:sz w:val="28"/>
          <w:szCs w:val="28"/>
        </w:rPr>
        <w:t>6</w:t>
      </w:r>
      <w:r>
        <w:rPr>
          <w:rFonts w:ascii="仿宋_GB2312" w:eastAsia="仿宋_GB2312" w:cs="Sim Sun"/>
          <w:b/>
          <w:bCs/>
          <w:kern w:val="0"/>
          <w:sz w:val="28"/>
          <w:szCs w:val="28"/>
        </w:rPr>
        <w:t>.2.5</w:t>
      </w:r>
      <w:r>
        <w:rPr>
          <w:rFonts w:ascii="仿宋_GB2312" w:eastAsia="仿宋_GB2312" w:cs="Sim Sun"/>
          <w:kern w:val="0"/>
          <w:sz w:val="28"/>
          <w:szCs w:val="28"/>
        </w:rPr>
        <w:t xml:space="preserve"> </w:t>
      </w:r>
      <w:r>
        <w:rPr>
          <w:rFonts w:hint="eastAsia" w:ascii="仿宋_GB2312" w:eastAsia="仿宋_GB2312" w:cs="Sim Sun"/>
          <w:kern w:val="0"/>
          <w:sz w:val="28"/>
          <w:szCs w:val="28"/>
        </w:rPr>
        <w:t>若被检产品明示的质量要求缺少本规范中检验项目依据的推荐性标准要求时，该项目不参与判定，但应在检验报告备注中进行说明。</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BE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2020-08-19T03:10:04Z</dcterms:created>
  <dc:creator>changmy</dc:creator>
  <cp:lastModifiedBy>常孟园</cp:lastModifiedBy>
  <dcterms:modified xsi:type="dcterms:W3CDTF">2020-08-19T03:10:19Z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