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cs="黑体"/>
          <w:sz w:val="32"/>
          <w:szCs w:val="32"/>
        </w:rPr>
      </w:pPr>
      <w:r>
        <w:rPr>
          <w:rFonts w:hint="eastAsia" w:ascii="黑体" w:hAnsi="黑体" w:cs="黑体"/>
          <w:sz w:val="32"/>
          <w:szCs w:val="32"/>
        </w:rPr>
        <w:t>附件2</w:t>
      </w: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深圳市市场监督管理局深汕特别合作区</w:t>
      </w:r>
    </w:p>
    <w:p>
      <w:pPr>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塑料制品产品质量监督抽查实施规范</w:t>
      </w:r>
    </w:p>
    <w:p>
      <w:pPr>
        <w:spacing w:line="600" w:lineRule="exact"/>
        <w:jc w:val="center"/>
        <w:rPr>
          <w:rFonts w:ascii="黑体" w:hAnsi="黑体" w:eastAsia="黑体"/>
          <w:sz w:val="28"/>
        </w:rPr>
      </w:pPr>
      <w:r>
        <w:rPr>
          <w:rFonts w:hint="eastAsia" w:ascii="黑体" w:hAnsi="黑体" w:eastAsia="黑体"/>
          <w:sz w:val="28"/>
        </w:rPr>
        <w:t>编号：CCGF-SZ-200-2020</w:t>
      </w:r>
    </w:p>
    <w:p>
      <w:pPr>
        <w:pStyle w:val="3"/>
      </w:pPr>
      <w:r>
        <w:rPr>
          <w:rFonts w:hint="eastAsia"/>
        </w:rPr>
        <w:t>1</w:t>
      </w:r>
      <w:r>
        <w:t xml:space="preserve"> </w:t>
      </w:r>
      <w:r>
        <w:rPr>
          <w:rFonts w:hint="eastAsia"/>
        </w:rPr>
        <w:t>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本规范适用于深圳市深汕特别合作区生产及流通领域塑料制品产品质量监督抽查。监督抽查产品适用于：室内塑料垃圾桶。</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pStyle w:val="3"/>
      </w:pPr>
      <w:r>
        <w:rPr>
          <w:rFonts w:hint="eastAsia"/>
        </w:rPr>
        <w:t>2</w:t>
      </w:r>
      <w:r>
        <w:t xml:space="preserve"> </w:t>
      </w:r>
      <w:r>
        <w:rPr>
          <w:rFonts w:hint="eastAsia"/>
        </w:rPr>
        <w:t>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可抽取的产品种类见表1。</w:t>
      </w:r>
    </w:p>
    <w:p>
      <w:pPr>
        <w:snapToGrid w:val="0"/>
        <w:spacing w:line="540" w:lineRule="exact"/>
        <w:jc w:val="center"/>
        <w:rPr>
          <w:rFonts w:ascii="黑体" w:hAnsi="黑体" w:eastAsia="黑体"/>
          <w:sz w:val="28"/>
          <w:szCs w:val="28"/>
        </w:rPr>
      </w:pPr>
      <w:r>
        <w:rPr>
          <w:rFonts w:hint="eastAsia" w:ascii="黑体" w:hAnsi="黑体" w:eastAsia="黑体"/>
          <w:sz w:val="28"/>
          <w:szCs w:val="28"/>
        </w:rPr>
        <w:t>表1 产品种类</w:t>
      </w:r>
    </w:p>
    <w:tbl>
      <w:tblPr>
        <w:tblStyle w:val="6"/>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hAnsi="仿宋" w:eastAsia="仿宋_GB2312" w:cs="宋体"/>
                <w:bCs/>
                <w:sz w:val="24"/>
              </w:rPr>
            </w:pPr>
            <w:r>
              <w:rPr>
                <w:rFonts w:hint="eastAsia" w:ascii="仿宋_GB2312" w:hAnsi="仿宋" w:eastAsia="仿宋_GB2312" w:cs="宋体"/>
                <w:bCs/>
                <w:sz w:val="24"/>
              </w:rPr>
              <w:t>室内塑料垃圾桶</w:t>
            </w:r>
          </w:p>
        </w:tc>
        <w:tc>
          <w:tcPr>
            <w:tcW w:w="6305" w:type="dxa"/>
            <w:noWrap w:val="0"/>
            <w:vAlign w:val="center"/>
          </w:tcPr>
          <w:p>
            <w:pPr>
              <w:autoSpaceDE w:val="0"/>
              <w:autoSpaceDN w:val="0"/>
              <w:adjustRightInd w:val="0"/>
              <w:spacing w:line="360" w:lineRule="exact"/>
              <w:jc w:val="left"/>
              <w:rPr>
                <w:rFonts w:ascii="仿宋_GB2312" w:hAnsi="仿宋" w:eastAsia="仿宋_GB2312" w:cs="宋体"/>
                <w:bCs/>
                <w:sz w:val="24"/>
              </w:rPr>
            </w:pPr>
            <w:r>
              <w:rPr>
                <w:rFonts w:hint="eastAsia" w:ascii="仿宋_GB2312" w:hAnsi="仿宋" w:eastAsia="仿宋_GB2312" w:cs="宋体"/>
                <w:bCs/>
                <w:sz w:val="24"/>
              </w:rPr>
              <w:t>无盖塑料垃圾桶、脚踏翻盖塑料垃圾桶、手动翻盖（包括摆动盖、揭盖等）塑料垃圾桶、有内桶塑料垃圾桶、无内桶塑料垃圾桶。</w:t>
            </w:r>
          </w:p>
        </w:tc>
      </w:tr>
    </w:tbl>
    <w:p>
      <w:pPr>
        <w:snapToGrid w:val="0"/>
        <w:spacing w:line="540" w:lineRule="exact"/>
        <w:ind w:firstLine="560" w:firstLineChars="200"/>
        <w:rPr>
          <w:rFonts w:ascii="黑体" w:hAnsi="黑体" w:eastAsia="黑体"/>
          <w:sz w:val="28"/>
          <w:szCs w:val="28"/>
        </w:rPr>
      </w:pPr>
      <w:r>
        <w:rPr>
          <w:rFonts w:hint="eastAsia" w:ascii="仿宋_GB2312" w:hAnsi="宋体" w:eastAsia="仿宋_GB2312"/>
          <w:sz w:val="28"/>
          <w:szCs w:val="28"/>
        </w:rPr>
        <w:t>不可抽取的产品种类见表2。</w:t>
      </w:r>
    </w:p>
    <w:p>
      <w:pPr>
        <w:snapToGrid w:val="0"/>
        <w:spacing w:line="540" w:lineRule="exact"/>
        <w:jc w:val="center"/>
        <w:rPr>
          <w:rFonts w:ascii="黑体" w:hAnsi="黑体" w:eastAsia="黑体"/>
          <w:sz w:val="28"/>
          <w:szCs w:val="28"/>
        </w:rPr>
      </w:pPr>
      <w:r>
        <w:rPr>
          <w:rFonts w:hint="eastAsia" w:ascii="黑体" w:hAnsi="黑体" w:eastAsia="黑体"/>
          <w:sz w:val="28"/>
          <w:szCs w:val="28"/>
        </w:rPr>
        <w:t>表2  不可抽查的产品种类</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noWrap w:val="0"/>
            <w:vAlign w:val="center"/>
          </w:tcPr>
          <w:p>
            <w:pPr>
              <w:jc w:val="center"/>
              <w:rPr>
                <w:rFonts w:ascii="黑体" w:hAnsi="黑体" w:eastAsia="黑体"/>
                <w:sz w:val="24"/>
              </w:rPr>
            </w:pPr>
            <w:r>
              <w:rPr>
                <w:rFonts w:hint="eastAsia" w:ascii="黑体" w:hAnsi="黑体" w:eastAsia="黑体"/>
                <w:sz w:val="24"/>
              </w:rPr>
              <w:t>不可抽取的产品</w:t>
            </w:r>
          </w:p>
        </w:tc>
        <w:tc>
          <w:tcPr>
            <w:tcW w:w="6237" w:type="dxa"/>
            <w:noWrap w:val="0"/>
            <w:vAlign w:val="center"/>
          </w:tcPr>
          <w:p>
            <w:pPr>
              <w:jc w:val="center"/>
              <w:rPr>
                <w:rFonts w:ascii="黑体" w:hAnsi="黑体" w:eastAsia="黑体"/>
                <w:sz w:val="24"/>
              </w:rPr>
            </w:pPr>
            <w:r>
              <w:rPr>
                <w:rFonts w:hint="eastAsia" w:ascii="黑体" w:hAnsi="黑体" w:eastAsia="黑体"/>
                <w:sz w:val="24"/>
              </w:rPr>
              <w:t>产品图片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noWrap w:val="0"/>
            <w:vAlign w:val="center"/>
          </w:tcPr>
          <w:p>
            <w:pPr>
              <w:rPr>
                <w:rFonts w:ascii="仿宋_GB2312" w:hAnsi="黑体" w:eastAsia="仿宋_GB2312"/>
                <w:bCs/>
                <w:kern w:val="0"/>
                <w:sz w:val="24"/>
              </w:rPr>
            </w:pPr>
            <w:r>
              <w:rPr>
                <w:rFonts w:hint="eastAsia" w:hAnsi="黑体"/>
                <w:sz w:val="24"/>
              </w:rPr>
              <w:t>镂空垃圾篓（桶）</w:t>
            </w:r>
          </w:p>
        </w:tc>
        <w:tc>
          <w:tcPr>
            <w:tcW w:w="6237" w:type="dxa"/>
            <w:noWrap w:val="0"/>
            <w:vAlign w:val="center"/>
          </w:tcPr>
          <w:p>
            <w:pPr>
              <w:jc w:val="center"/>
            </w:pPr>
            <w:r>
              <w:drawing>
                <wp:inline distT="0" distB="0" distL="114300" distR="114300">
                  <wp:extent cx="1414145" cy="1414145"/>
                  <wp:effectExtent l="0" t="0" r="1460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414145" cy="14141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trPr>
        <w:tc>
          <w:tcPr>
            <w:tcW w:w="2518" w:type="dxa"/>
            <w:noWrap w:val="0"/>
            <w:vAlign w:val="center"/>
          </w:tcPr>
          <w:p>
            <w:pPr>
              <w:rPr>
                <w:rFonts w:ascii="仿宋_GB2312" w:hAnsi="黑体" w:eastAsia="仿宋_GB2312"/>
                <w:bCs/>
                <w:kern w:val="0"/>
                <w:sz w:val="24"/>
              </w:rPr>
            </w:pPr>
            <w:r>
              <w:rPr>
                <w:rFonts w:hint="eastAsia" w:hAnsi="黑体"/>
                <w:sz w:val="24"/>
              </w:rPr>
              <w:t>市政垃圾桶</w:t>
            </w:r>
          </w:p>
        </w:tc>
        <w:tc>
          <w:tcPr>
            <w:tcW w:w="6237" w:type="dxa"/>
            <w:noWrap w:val="0"/>
            <w:vAlign w:val="center"/>
          </w:tcPr>
          <w:p>
            <w:r>
              <w:drawing>
                <wp:inline distT="0" distB="0" distL="114300" distR="114300">
                  <wp:extent cx="1860550" cy="1743710"/>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860550" cy="1743710"/>
                          </a:xfrm>
                          <a:prstGeom prst="rect">
                            <a:avLst/>
                          </a:prstGeom>
                          <a:noFill/>
                          <a:ln>
                            <a:noFill/>
                          </a:ln>
                        </pic:spPr>
                      </pic:pic>
                    </a:graphicData>
                  </a:graphic>
                </wp:inline>
              </w:drawing>
            </w:r>
            <w:r>
              <w:rPr>
                <w:rFonts w:hint="eastAsia"/>
              </w:rPr>
              <w:t xml:space="preserve"> </w:t>
            </w:r>
            <w:r>
              <w:drawing>
                <wp:inline distT="0" distB="0" distL="114300" distR="114300">
                  <wp:extent cx="1860550" cy="1690370"/>
                  <wp:effectExtent l="0" t="0" r="635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860550" cy="1690370"/>
                          </a:xfrm>
                          <a:prstGeom prst="rect">
                            <a:avLst/>
                          </a:prstGeom>
                          <a:noFill/>
                          <a:ln>
                            <a:noFill/>
                          </a:ln>
                        </pic:spPr>
                      </pic:pic>
                    </a:graphicData>
                  </a:graphic>
                </wp:inline>
              </w:drawing>
            </w:r>
          </w:p>
        </w:tc>
      </w:tr>
    </w:tbl>
    <w:p>
      <w:pPr>
        <w:pStyle w:val="3"/>
      </w:pPr>
      <w:r>
        <w:t xml:space="preserve">3 </w:t>
      </w:r>
      <w:r>
        <w:rPr>
          <w:rFonts w:hint="eastAsia"/>
        </w:rPr>
        <w:t>术语和定义</w:t>
      </w:r>
    </w:p>
    <w:p>
      <w:pPr>
        <w:snapToGrid w:val="0"/>
        <w:spacing w:line="540" w:lineRule="exact"/>
        <w:ind w:firstLine="570"/>
        <w:rPr>
          <w:rFonts w:ascii="仿宋_GB2312" w:hAnsi="宋体" w:eastAsia="仿宋_GB2312"/>
          <w:sz w:val="28"/>
          <w:szCs w:val="28"/>
        </w:rPr>
      </w:pPr>
      <w:r>
        <w:rPr>
          <w:rFonts w:hint="eastAsia" w:ascii="仿宋_GB2312" w:hAnsi="宋体" w:eastAsia="仿宋_GB2312"/>
          <w:sz w:val="28"/>
          <w:szCs w:val="28"/>
        </w:rPr>
        <w:t>术语和定义见表3。</w:t>
      </w:r>
    </w:p>
    <w:p>
      <w:pPr>
        <w:snapToGrid w:val="0"/>
        <w:spacing w:line="540" w:lineRule="exact"/>
        <w:jc w:val="center"/>
        <w:rPr>
          <w:rFonts w:ascii="黑体" w:hAnsi="黑体" w:eastAsia="黑体"/>
          <w:sz w:val="28"/>
          <w:szCs w:val="28"/>
        </w:rPr>
      </w:pPr>
      <w:r>
        <w:rPr>
          <w:rFonts w:hint="eastAsia" w:ascii="黑体" w:hAnsi="黑体" w:eastAsia="黑体"/>
          <w:sz w:val="28"/>
          <w:szCs w:val="28"/>
        </w:rPr>
        <w:t>表3  术语和定义</w:t>
      </w: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86" w:type="dxa"/>
            <w:noWrap w:val="0"/>
            <w:vAlign w:val="center"/>
          </w:tcPr>
          <w:p>
            <w:pPr>
              <w:snapToGrid w:val="0"/>
              <w:spacing w:before="100" w:beforeAutospacing="1" w:after="100" w:afterAutospacing="1"/>
              <w:jc w:val="center"/>
              <w:rPr>
                <w:rFonts w:ascii="黑体" w:hAnsi="黑体" w:eastAsia="黑体"/>
                <w:kern w:val="0"/>
                <w:sz w:val="24"/>
                <w:szCs w:val="28"/>
              </w:rPr>
            </w:pPr>
            <w:r>
              <w:rPr>
                <w:rFonts w:hint="eastAsia" w:ascii="黑体" w:hAnsi="黑体" w:eastAsia="黑体"/>
                <w:kern w:val="0"/>
                <w:sz w:val="24"/>
                <w:szCs w:val="28"/>
              </w:rPr>
              <w:t>产品种类</w:t>
            </w:r>
          </w:p>
        </w:tc>
        <w:tc>
          <w:tcPr>
            <w:tcW w:w="4588" w:type="dxa"/>
            <w:noWrap w:val="0"/>
            <w:vAlign w:val="center"/>
          </w:tcPr>
          <w:p>
            <w:pPr>
              <w:snapToGrid w:val="0"/>
              <w:spacing w:before="100" w:beforeAutospacing="1" w:after="100" w:afterAutospacing="1"/>
              <w:jc w:val="center"/>
              <w:rPr>
                <w:rFonts w:ascii="黑体" w:hAnsi="黑体" w:eastAsia="黑体"/>
                <w:kern w:val="0"/>
                <w:sz w:val="24"/>
                <w:szCs w:val="28"/>
              </w:rPr>
            </w:pPr>
            <w:r>
              <w:rPr>
                <w:rFonts w:hint="eastAsia" w:ascii="黑体" w:hAnsi="黑体" w:eastAsia="黑体"/>
                <w:kern w:val="0"/>
                <w:sz w:val="24"/>
                <w:szCs w:val="28"/>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86" w:type="dxa"/>
            <w:noWrap w:val="0"/>
            <w:vAlign w:val="center"/>
          </w:tcPr>
          <w:p>
            <w:pPr>
              <w:autoSpaceDE w:val="0"/>
              <w:autoSpaceDN w:val="0"/>
              <w:adjustRightInd w:val="0"/>
              <w:spacing w:line="360" w:lineRule="exact"/>
              <w:jc w:val="center"/>
              <w:rPr>
                <w:rFonts w:ascii="仿宋_GB2312" w:hAnsi="仿宋" w:eastAsia="仿宋_GB2312" w:cs="宋体"/>
                <w:bCs/>
                <w:sz w:val="24"/>
              </w:rPr>
            </w:pPr>
            <w:r>
              <w:rPr>
                <w:rFonts w:hint="eastAsia" w:ascii="仿宋_GB2312" w:hAnsi="仿宋" w:eastAsia="仿宋_GB2312" w:cs="宋体"/>
                <w:bCs/>
                <w:sz w:val="24"/>
              </w:rPr>
              <w:t>室内塑料垃圾桶</w:t>
            </w:r>
          </w:p>
        </w:tc>
        <w:tc>
          <w:tcPr>
            <w:tcW w:w="4588" w:type="dxa"/>
            <w:noWrap w:val="0"/>
            <w:vAlign w:val="center"/>
          </w:tcPr>
          <w:p>
            <w:pPr>
              <w:snapToGrid w:val="0"/>
              <w:spacing w:before="100" w:beforeAutospacing="1" w:after="100" w:afterAutospacing="1"/>
              <w:rPr>
                <w:rFonts w:ascii="仿宋_GB2312" w:hAnsi="黑体" w:eastAsia="仿宋_GB2312"/>
                <w:kern w:val="0"/>
                <w:sz w:val="24"/>
                <w:szCs w:val="28"/>
              </w:rPr>
            </w:pPr>
            <w:r>
              <w:rPr>
                <w:rFonts w:hint="eastAsia" w:ascii="仿宋_GB2312" w:hAnsi="黑体" w:eastAsia="仿宋_GB2312"/>
                <w:kern w:val="0"/>
                <w:sz w:val="24"/>
                <w:szCs w:val="28"/>
              </w:rPr>
              <w:t>能收纳和存放一定量生活垃圾的用于室内的不漏水塑料容器。</w:t>
            </w:r>
          </w:p>
        </w:tc>
      </w:tr>
    </w:tbl>
    <w:p>
      <w:pPr>
        <w:pStyle w:val="3"/>
      </w:pPr>
      <w:r>
        <w:rPr>
          <w:rFonts w:hint="eastAsia"/>
        </w:rPr>
        <w:t>4</w:t>
      </w:r>
      <w:r>
        <w:t xml:space="preserve"> </w:t>
      </w:r>
      <w:r>
        <w:rPr>
          <w:rFonts w:hint="eastAsia"/>
        </w:rPr>
        <w:t>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检验依据见表4。</w:t>
      </w:r>
    </w:p>
    <w:p>
      <w:pPr>
        <w:snapToGrid w:val="0"/>
        <w:spacing w:line="540" w:lineRule="exact"/>
        <w:jc w:val="center"/>
        <w:rPr>
          <w:rFonts w:ascii="黑体" w:hAnsi="黑体" w:eastAsia="黑体"/>
          <w:sz w:val="28"/>
          <w:szCs w:val="28"/>
        </w:rPr>
      </w:pPr>
      <w:r>
        <w:rPr>
          <w:rFonts w:hint="eastAsia" w:ascii="黑体" w:hAnsi="黑体" w:eastAsia="黑体"/>
          <w:sz w:val="28"/>
          <w:szCs w:val="28"/>
        </w:rPr>
        <w:t>表4  检验依据</w:t>
      </w:r>
    </w:p>
    <w:tbl>
      <w:tblPr>
        <w:tblStyle w:val="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3969"/>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34"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396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noWrap w:val="0"/>
            <w:vAlign w:val="center"/>
          </w:tcPr>
          <w:p>
            <w:pPr>
              <w:spacing w:line="360" w:lineRule="exact"/>
              <w:jc w:val="center"/>
              <w:rPr>
                <w:rFonts w:ascii="仿宋_GB2312" w:hAnsi="仿宋" w:eastAsia="仿宋_GB2312" w:cs="宋体"/>
                <w:sz w:val="24"/>
              </w:rPr>
            </w:pPr>
            <w:r>
              <w:rPr>
                <w:rFonts w:ascii="仿宋_GB2312" w:hAnsi="仿宋" w:eastAsia="仿宋_GB2312" w:cs="宋体"/>
                <w:sz w:val="24"/>
              </w:rPr>
              <w:t>GB/T28797-2012</w:t>
            </w:r>
          </w:p>
        </w:tc>
        <w:tc>
          <w:tcPr>
            <w:tcW w:w="3969" w:type="dxa"/>
            <w:noWrap w:val="0"/>
            <w:vAlign w:val="center"/>
          </w:tcPr>
          <w:p>
            <w:pPr>
              <w:autoSpaceDE w:val="0"/>
              <w:autoSpaceDN w:val="0"/>
              <w:adjustRightInd w:val="0"/>
              <w:spacing w:line="360" w:lineRule="exact"/>
              <w:jc w:val="center"/>
              <w:rPr>
                <w:rFonts w:ascii="仿宋_GB2312" w:hAnsi="宋体" w:eastAsia="仿宋_GB2312"/>
                <w:sz w:val="24"/>
                <w:szCs w:val="21"/>
              </w:rPr>
            </w:pPr>
            <w:r>
              <w:rPr>
                <w:rFonts w:hint="eastAsia" w:ascii="仿宋_GB2312" w:hAnsi="宋体" w:eastAsia="仿宋_GB2312"/>
                <w:sz w:val="24"/>
                <w:szCs w:val="21"/>
              </w:rPr>
              <w:t>《室内塑料垃圾桶》</w:t>
            </w:r>
          </w:p>
        </w:tc>
        <w:tc>
          <w:tcPr>
            <w:tcW w:w="2786" w:type="dxa"/>
            <w:noWrap w:val="0"/>
            <w:vAlign w:val="center"/>
          </w:tcPr>
          <w:p>
            <w:pPr>
              <w:snapToGrid w:val="0"/>
              <w:spacing w:line="360" w:lineRule="exact"/>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before="156" w:beforeLines="50"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相关产品的强制性标准、行业标准、政府法规及产品的明示标准（包括备案的企业标准）和明示担保内容。</w:t>
      </w:r>
    </w:p>
    <w:p>
      <w:pPr>
        <w:pStyle w:val="3"/>
      </w:pPr>
      <w:r>
        <w:rPr>
          <w:rFonts w:hint="eastAsia"/>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b/>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汕特别合作区登记注册的，可对该平台的自营商品进行抽检。若网络交易平台不在深汕特别合作区登记注册的，仅可对其平台上在深汕特别合作区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ind w:firstLine="560" w:firstLineChars="200"/>
        <w:rPr>
          <w:rFonts w:ascii="仿宋_GB2312" w:hAnsi="黑体" w:eastAsia="仿宋_GB2312"/>
          <w:sz w:val="28"/>
          <w:szCs w:val="28"/>
        </w:rPr>
      </w:pPr>
      <w:r>
        <w:rPr>
          <w:rFonts w:hint="eastAsia" w:ascii="仿宋_GB2312" w:eastAsia="仿宋_GB2312"/>
          <w:sz w:val="28"/>
          <w:szCs w:val="28"/>
        </w:rPr>
        <w:t>抽取样品的数量不得超过检验、复检的合理需要，具体数量见表5。</w:t>
      </w:r>
    </w:p>
    <w:p>
      <w:pPr>
        <w:jc w:val="center"/>
        <w:rPr>
          <w:rFonts w:ascii="黑体" w:hAnsi="黑体" w:eastAsia="黑体"/>
          <w:sz w:val="28"/>
          <w:szCs w:val="28"/>
        </w:rPr>
      </w:pPr>
      <w:r>
        <w:rPr>
          <w:rFonts w:hint="eastAsia" w:ascii="黑体" w:hAnsi="黑体" w:eastAsia="黑体"/>
          <w:sz w:val="28"/>
          <w:szCs w:val="28"/>
        </w:rPr>
        <w:t>表5  塑料制品抽样数量</w:t>
      </w:r>
    </w:p>
    <w:tbl>
      <w:tblPr>
        <w:tblStyle w:val="6"/>
        <w:tblW w:w="9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694"/>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943" w:type="dxa"/>
            <w:noWrap w:val="0"/>
            <w:vAlign w:val="center"/>
          </w:tcPr>
          <w:p>
            <w:pPr>
              <w:widowControl/>
              <w:spacing w:before="100" w:beforeAutospacing="1" w:after="100" w:afterAutospacing="1" w:line="360" w:lineRule="exact"/>
              <w:jc w:val="center"/>
              <w:textAlignment w:val="center"/>
              <w:rPr>
                <w:rFonts w:ascii="黑体" w:hAnsi="黑体" w:eastAsia="黑体" w:cs="宋体"/>
                <w:sz w:val="24"/>
              </w:rPr>
            </w:pPr>
            <w:r>
              <w:rPr>
                <w:rFonts w:hint="eastAsia" w:ascii="黑体" w:hAnsi="黑体" w:eastAsia="黑体" w:cs="宋体"/>
                <w:sz w:val="24"/>
              </w:rPr>
              <w:t>产品类别</w:t>
            </w:r>
          </w:p>
        </w:tc>
        <w:tc>
          <w:tcPr>
            <w:tcW w:w="2694" w:type="dxa"/>
            <w:noWrap w:val="0"/>
            <w:vAlign w:val="center"/>
          </w:tcPr>
          <w:p>
            <w:pPr>
              <w:widowControl/>
              <w:spacing w:before="100" w:beforeAutospacing="1" w:after="100" w:afterAutospacing="1" w:line="360" w:lineRule="exact"/>
              <w:jc w:val="center"/>
              <w:textAlignment w:val="center"/>
              <w:rPr>
                <w:rFonts w:ascii="黑体" w:hAnsi="黑体" w:eastAsia="黑体" w:cs="宋体"/>
                <w:sz w:val="24"/>
              </w:rPr>
            </w:pPr>
            <w:r>
              <w:rPr>
                <w:rFonts w:hint="eastAsia" w:ascii="黑体" w:hAnsi="黑体" w:eastAsia="黑体" w:cs="宋体"/>
                <w:sz w:val="24"/>
              </w:rPr>
              <w:t>检验样品数量</w:t>
            </w:r>
          </w:p>
        </w:tc>
        <w:tc>
          <w:tcPr>
            <w:tcW w:w="3368" w:type="dxa"/>
            <w:noWrap w:val="0"/>
            <w:vAlign w:val="center"/>
          </w:tcPr>
          <w:p>
            <w:pPr>
              <w:widowControl/>
              <w:spacing w:before="100" w:beforeAutospacing="1" w:after="100" w:afterAutospacing="1" w:line="360" w:lineRule="exact"/>
              <w:jc w:val="center"/>
              <w:textAlignment w:val="center"/>
              <w:rPr>
                <w:rFonts w:ascii="黑体" w:hAnsi="黑体" w:eastAsia="黑体" w:cs="宋体"/>
                <w:sz w:val="24"/>
              </w:rPr>
            </w:pPr>
            <w:r>
              <w:rPr>
                <w:rFonts w:hint="eastAsia" w:ascii="黑体" w:hAnsi="黑体" w:eastAsia="黑体" w:cs="宋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sz w:val="24"/>
              </w:rPr>
            </w:pPr>
            <w:r>
              <w:rPr>
                <w:rFonts w:hint="eastAsia" w:ascii="仿宋_GB2312" w:hAnsi="宋体" w:eastAsia="仿宋_GB2312"/>
                <w:sz w:val="24"/>
                <w:szCs w:val="21"/>
              </w:rPr>
              <w:t>室内塑料垃圾桶</w:t>
            </w:r>
          </w:p>
        </w:tc>
        <w:tc>
          <w:tcPr>
            <w:tcW w:w="2694"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sz w:val="24"/>
              </w:rPr>
            </w:pPr>
            <w:r>
              <w:rPr>
                <w:rFonts w:hint="eastAsia" w:ascii="仿宋_GB2312" w:hAnsi="仿宋" w:eastAsia="仿宋_GB2312" w:cs="宋体"/>
                <w:bCs/>
                <w:sz w:val="24"/>
              </w:rPr>
              <w:t>21个</w:t>
            </w:r>
          </w:p>
        </w:tc>
        <w:tc>
          <w:tcPr>
            <w:tcW w:w="3368" w:type="dxa"/>
            <w:noWrap w:val="0"/>
            <w:vAlign w:val="center"/>
          </w:tcPr>
          <w:p>
            <w:pPr>
              <w:widowControl/>
              <w:spacing w:before="100" w:beforeAutospacing="1" w:after="100" w:afterAutospacing="1" w:line="360" w:lineRule="exact"/>
              <w:jc w:val="center"/>
              <w:textAlignment w:val="center"/>
              <w:rPr>
                <w:rFonts w:ascii="仿宋_GB2312" w:hAnsi="仿宋" w:eastAsia="仿宋_GB2312" w:cs="宋体"/>
                <w:bCs/>
                <w:sz w:val="24"/>
              </w:rPr>
            </w:pPr>
            <w:r>
              <w:rPr>
                <w:rFonts w:hint="eastAsia" w:ascii="仿宋_GB2312" w:hAnsi="仿宋" w:eastAsia="仿宋_GB2312" w:cs="宋体"/>
                <w:bCs/>
                <w:sz w:val="24"/>
              </w:rPr>
              <w:t>15个</w:t>
            </w:r>
          </w:p>
        </w:tc>
      </w:tr>
    </w:tbl>
    <w:p>
      <w:pPr>
        <w:snapToGrid w:val="0"/>
        <w:spacing w:before="156" w:beforeLines="50"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5.6.1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60" w:firstLineChars="200"/>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pPr>
      <w:r>
        <w:rPr>
          <w:rFonts w:hint="eastAsia"/>
        </w:rPr>
        <w:t>6 检验要求</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rPr>
          <w:rFonts w:hint="eastAsia" w:ascii="仿宋_GB2312" w:hAnsi="宋体" w:eastAsia="仿宋_GB2312"/>
          <w:b/>
          <w:sz w:val="28"/>
          <w:szCs w:val="28"/>
        </w:rPr>
      </w:pPr>
    </w:p>
    <w:p>
      <w:pPr>
        <w:snapToGrid w:val="0"/>
        <w:spacing w:line="540" w:lineRule="exact"/>
        <w:rPr>
          <w:rFonts w:ascii="仿宋_GB2312" w:hAnsi="宋体" w:eastAsia="仿宋_GB2312"/>
          <w:b/>
          <w:sz w:val="28"/>
          <w:szCs w:val="28"/>
        </w:rPr>
      </w:pPr>
    </w:p>
    <w:p>
      <w:pPr>
        <w:pStyle w:val="4"/>
        <w:spacing w:line="600" w:lineRule="exact"/>
        <w:rPr>
          <w:rFonts w:ascii="仿宋_GB2312"/>
          <w:bCs/>
          <w:szCs w:val="28"/>
        </w:rPr>
      </w:pPr>
      <w:r>
        <w:rPr>
          <w:rFonts w:hint="eastAsia" w:ascii="仿宋_GB2312"/>
          <w:bCs/>
          <w:szCs w:val="28"/>
        </w:rPr>
        <w:t>6.1.1室内塑料垃圾桶</w:t>
      </w:r>
    </w:p>
    <w:tbl>
      <w:tblPr>
        <w:tblStyle w:val="6"/>
        <w:tblW w:w="9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351"/>
        <w:gridCol w:w="2126"/>
        <w:gridCol w:w="1276"/>
        <w:gridCol w:w="212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blHeader/>
          <w:jc w:val="center"/>
        </w:trPr>
        <w:tc>
          <w:tcPr>
            <w:tcW w:w="634" w:type="dxa"/>
            <w:noWrap w:val="0"/>
            <w:vAlign w:val="center"/>
          </w:tcPr>
          <w:p>
            <w:pPr>
              <w:widowControl/>
              <w:snapToGrid w:val="0"/>
              <w:spacing w:before="100" w:beforeAutospacing="1" w:after="100" w:afterAutospacing="1" w:line="300" w:lineRule="exact"/>
              <w:jc w:val="center"/>
              <w:rPr>
                <w:rFonts w:ascii="黑体" w:hAnsi="黑体" w:eastAsia="黑体"/>
                <w:bCs/>
                <w:sz w:val="24"/>
              </w:rPr>
            </w:pPr>
            <w:r>
              <w:rPr>
                <w:rFonts w:hint="eastAsia" w:ascii="黑体" w:hAnsi="黑体" w:eastAsia="黑体"/>
                <w:bCs/>
                <w:sz w:val="24"/>
              </w:rPr>
              <w:t>序号</w:t>
            </w:r>
          </w:p>
        </w:tc>
        <w:tc>
          <w:tcPr>
            <w:tcW w:w="1351" w:type="dxa"/>
            <w:noWrap w:val="0"/>
            <w:vAlign w:val="center"/>
          </w:tcPr>
          <w:p>
            <w:pPr>
              <w:widowControl/>
              <w:snapToGrid w:val="0"/>
              <w:spacing w:before="100" w:beforeAutospacing="1" w:after="100" w:afterAutospacing="1" w:line="300" w:lineRule="exact"/>
              <w:jc w:val="center"/>
              <w:rPr>
                <w:rFonts w:ascii="黑体" w:hAnsi="黑体" w:eastAsia="黑体"/>
                <w:bCs/>
                <w:sz w:val="24"/>
              </w:rPr>
            </w:pPr>
            <w:r>
              <w:rPr>
                <w:rFonts w:hint="eastAsia" w:ascii="黑体" w:hAnsi="黑体" w:eastAsia="黑体"/>
                <w:bCs/>
                <w:sz w:val="24"/>
              </w:rPr>
              <w:t>检验项目</w:t>
            </w:r>
          </w:p>
        </w:tc>
        <w:tc>
          <w:tcPr>
            <w:tcW w:w="2126" w:type="dxa"/>
            <w:noWrap w:val="0"/>
            <w:vAlign w:val="center"/>
          </w:tcPr>
          <w:p>
            <w:pPr>
              <w:widowControl/>
              <w:snapToGrid w:val="0"/>
              <w:spacing w:before="100" w:beforeAutospacing="1" w:after="100" w:afterAutospacing="1" w:line="300" w:lineRule="exact"/>
              <w:jc w:val="center"/>
              <w:rPr>
                <w:rFonts w:ascii="黑体" w:hAnsi="黑体" w:eastAsia="黑体"/>
                <w:bCs/>
                <w:sz w:val="24"/>
              </w:rPr>
            </w:pPr>
            <w:r>
              <w:rPr>
                <w:rFonts w:hint="eastAsia" w:ascii="黑体" w:hAnsi="黑体" w:eastAsia="黑体"/>
                <w:bCs/>
                <w:sz w:val="24"/>
              </w:rPr>
              <w:t>检测依据</w:t>
            </w:r>
          </w:p>
        </w:tc>
        <w:tc>
          <w:tcPr>
            <w:tcW w:w="1276" w:type="dxa"/>
            <w:noWrap w:val="0"/>
            <w:vAlign w:val="center"/>
          </w:tcPr>
          <w:p>
            <w:pPr>
              <w:widowControl/>
              <w:snapToGrid w:val="0"/>
              <w:spacing w:before="100" w:beforeAutospacing="1" w:after="100" w:afterAutospacing="1" w:line="300" w:lineRule="exact"/>
              <w:jc w:val="center"/>
              <w:rPr>
                <w:rFonts w:ascii="黑体" w:hAnsi="黑体" w:eastAsia="黑体"/>
                <w:bCs/>
                <w:sz w:val="24"/>
              </w:rPr>
            </w:pPr>
            <w:r>
              <w:rPr>
                <w:rFonts w:hint="eastAsia" w:ascii="黑体" w:hAnsi="黑体" w:eastAsia="黑体"/>
                <w:bCs/>
                <w:sz w:val="24"/>
              </w:rPr>
              <w:t>项目性质</w:t>
            </w:r>
          </w:p>
        </w:tc>
        <w:tc>
          <w:tcPr>
            <w:tcW w:w="2126" w:type="dxa"/>
            <w:noWrap w:val="0"/>
            <w:vAlign w:val="center"/>
          </w:tcPr>
          <w:p>
            <w:pPr>
              <w:widowControl/>
              <w:snapToGrid w:val="0"/>
              <w:spacing w:before="100" w:beforeAutospacing="1" w:after="100" w:afterAutospacing="1" w:line="300" w:lineRule="exact"/>
              <w:jc w:val="center"/>
              <w:rPr>
                <w:rFonts w:ascii="黑体" w:hAnsi="黑体" w:eastAsia="黑体"/>
                <w:bCs/>
                <w:sz w:val="24"/>
              </w:rPr>
            </w:pPr>
            <w:r>
              <w:rPr>
                <w:rFonts w:hint="eastAsia" w:ascii="黑体" w:hAnsi="黑体" w:eastAsia="黑体"/>
                <w:bCs/>
                <w:sz w:val="24"/>
              </w:rPr>
              <w:t>检测方法</w:t>
            </w:r>
          </w:p>
        </w:tc>
        <w:tc>
          <w:tcPr>
            <w:tcW w:w="1666" w:type="dxa"/>
            <w:noWrap w:val="0"/>
            <w:vAlign w:val="center"/>
          </w:tcPr>
          <w:p>
            <w:pPr>
              <w:snapToGrid w:val="0"/>
              <w:spacing w:before="100" w:beforeAutospacing="1" w:after="100" w:afterAutospacing="1" w:line="300" w:lineRule="exact"/>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1</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外观</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pacing w:val="-10"/>
                <w:sz w:val="24"/>
              </w:rPr>
            </w:pPr>
            <w:r>
              <w:rPr>
                <w:rFonts w:ascii="仿宋_GB2312" w:hAnsi="仿宋" w:eastAsia="仿宋_GB2312" w:cs="宋体"/>
                <w:spacing w:val="-10"/>
                <w:sz w:val="24"/>
              </w:rPr>
              <w:t>GB/T</w:t>
            </w:r>
            <w:r>
              <w:rPr>
                <w:rFonts w:hint="eastAsia" w:ascii="仿宋_GB2312" w:hAnsi="仿宋" w:eastAsia="仿宋_GB2312" w:cs="宋体"/>
                <w:spacing w:val="-10"/>
                <w:sz w:val="24"/>
              </w:rPr>
              <w:t xml:space="preserve"> </w:t>
            </w:r>
            <w:r>
              <w:rPr>
                <w:rFonts w:ascii="仿宋_GB2312" w:hAnsi="仿宋" w:eastAsia="仿宋_GB2312" w:cs="宋体"/>
                <w:spacing w:val="-10"/>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pacing w:val="-10"/>
                <w:sz w:val="24"/>
              </w:rPr>
              <w:t>5.1</w:t>
            </w:r>
          </w:p>
        </w:tc>
        <w:tc>
          <w:tcPr>
            <w:tcW w:w="127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r>
              <w:rPr>
                <w:rFonts w:hint="eastAsia" w:ascii="仿宋_GB2312" w:hAnsi="仿宋" w:eastAsia="仿宋_GB2312" w:cs="宋体"/>
                <w:sz w:val="24"/>
              </w:rPr>
              <w:t xml:space="preserve"> 6.1</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szCs w:val="21"/>
              </w:rPr>
              <w:t>备样</w:t>
            </w:r>
            <w:r>
              <w:rPr>
                <w:rFonts w:hint="eastAsia" w:ascii="仿宋_GB2312" w:hAnsi="仿宋" w:eastAsia="仿宋_GB2312" w:cs="宋体"/>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2</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气味</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5.2</w:t>
            </w:r>
          </w:p>
        </w:tc>
        <w:tc>
          <w:tcPr>
            <w:tcW w:w="1276" w:type="dxa"/>
            <w:noWrap w:val="0"/>
            <w:vAlign w:val="center"/>
          </w:tcPr>
          <w:p>
            <w:pPr>
              <w:jc w:val="cente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6.2</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szCs w:val="21"/>
              </w:rPr>
              <w:t>备样</w:t>
            </w:r>
            <w:r>
              <w:rPr>
                <w:rFonts w:hint="eastAsia" w:ascii="仿宋_GB2312" w:hAnsi="仿宋" w:eastAsia="仿宋_GB2312" w:cs="宋体"/>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3</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容量偏差</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5.3</w:t>
            </w:r>
          </w:p>
        </w:tc>
        <w:tc>
          <w:tcPr>
            <w:tcW w:w="1276" w:type="dxa"/>
            <w:noWrap w:val="0"/>
            <w:vAlign w:val="center"/>
          </w:tcPr>
          <w:p>
            <w:pPr>
              <w:jc w:val="cente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6.3</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pStyle w:val="5"/>
              <w:spacing w:before="78" w:after="109" w:line="300" w:lineRule="exact"/>
              <w:jc w:val="center"/>
              <w:rPr>
                <w:rFonts w:ascii="仿宋_GB2312" w:hAnsi="仿宋" w:eastAsia="仿宋_GB2312"/>
              </w:rPr>
            </w:pPr>
            <w:r>
              <w:rPr>
                <w:rFonts w:hint="eastAsia" w:ascii="仿宋_GB2312" w:hAnsi="仿宋" w:eastAsia="仿宋_GB2312"/>
                <w:szCs w:val="21"/>
              </w:rPr>
              <w:t>备样</w:t>
            </w:r>
            <w:r>
              <w:rPr>
                <w:rFonts w:hint="eastAsia" w:ascii="仿宋_GB2312" w:hAnsi="仿宋" w:eastAsia="仿宋_GB231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4</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耐温性能</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5.4.1</w:t>
            </w:r>
          </w:p>
        </w:tc>
        <w:tc>
          <w:tcPr>
            <w:tcW w:w="1276" w:type="dxa"/>
            <w:noWrap w:val="0"/>
            <w:vAlign w:val="center"/>
          </w:tcPr>
          <w:p>
            <w:pPr>
              <w:jc w:val="cente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6.4</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pStyle w:val="5"/>
              <w:spacing w:before="78" w:after="109" w:line="300" w:lineRule="exact"/>
              <w:jc w:val="center"/>
              <w:rPr>
                <w:rFonts w:ascii="仿宋_GB2312" w:hAnsi="仿宋" w:eastAsia="仿宋_GB2312"/>
              </w:rPr>
            </w:pPr>
            <w:r>
              <w:rPr>
                <w:rFonts w:hint="eastAsia" w:ascii="仿宋_GB2312" w:hAnsi="仿宋" w:eastAsia="仿宋_GB2312"/>
                <w:szCs w:val="21"/>
              </w:rPr>
              <w:t>备样</w:t>
            </w:r>
            <w:r>
              <w:rPr>
                <w:rFonts w:hint="eastAsia" w:ascii="仿宋_GB2312" w:hAnsi="仿宋" w:eastAsia="仿宋_GB231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5</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操作性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5.4.2</w:t>
            </w:r>
          </w:p>
        </w:tc>
        <w:tc>
          <w:tcPr>
            <w:tcW w:w="1276" w:type="dxa"/>
            <w:noWrap w:val="0"/>
            <w:vAlign w:val="center"/>
          </w:tcPr>
          <w:p>
            <w:pPr>
              <w:jc w:val="cente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6.5</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szCs w:val="21"/>
              </w:rPr>
              <w:t>备样</w:t>
            </w:r>
            <w:r>
              <w:rPr>
                <w:rFonts w:hint="eastAsia" w:ascii="仿宋_GB2312" w:hAnsi="仿宋" w:eastAsia="仿宋_GB2312" w:cs="宋体"/>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6</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盛装性能</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5.4.3</w:t>
            </w:r>
          </w:p>
        </w:tc>
        <w:tc>
          <w:tcPr>
            <w:tcW w:w="1276"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6.6</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szCs w:val="21"/>
              </w:rPr>
              <w:t>备样</w:t>
            </w:r>
            <w:r>
              <w:rPr>
                <w:rFonts w:hint="eastAsia" w:ascii="仿宋_GB2312" w:hAnsi="仿宋" w:eastAsia="仿宋_GB2312" w:cs="宋体"/>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7</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提手强度</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5.4.5</w:t>
            </w:r>
          </w:p>
        </w:tc>
        <w:tc>
          <w:tcPr>
            <w:tcW w:w="1276" w:type="dxa"/>
            <w:noWrap w:val="0"/>
            <w:vAlign w:val="center"/>
          </w:tcPr>
          <w:p>
            <w:pPr>
              <w:jc w:val="cente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6.8</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pStyle w:val="5"/>
              <w:spacing w:before="78" w:after="109" w:line="300" w:lineRule="exact"/>
              <w:jc w:val="center"/>
              <w:rPr>
                <w:rFonts w:ascii="仿宋_GB2312" w:hAnsi="仿宋" w:eastAsia="仿宋_GB2312"/>
                <w:kern w:val="2"/>
              </w:rPr>
            </w:pPr>
            <w:r>
              <w:rPr>
                <w:rFonts w:hint="eastAsia" w:ascii="仿宋_GB2312" w:hAnsi="仿宋" w:eastAsia="仿宋_GB2312"/>
                <w:szCs w:val="21"/>
              </w:rPr>
              <w:t>备样</w:t>
            </w:r>
            <w:r>
              <w:rPr>
                <w:rFonts w:hint="eastAsia" w:ascii="仿宋_GB2312" w:hAnsi="仿宋" w:eastAsia="仿宋_GB231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8</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内桶跌落性能</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5.4.7</w:t>
            </w:r>
          </w:p>
        </w:tc>
        <w:tc>
          <w:tcPr>
            <w:tcW w:w="1276" w:type="dxa"/>
            <w:noWrap w:val="0"/>
            <w:vAlign w:val="center"/>
          </w:tcPr>
          <w:p>
            <w:pPr>
              <w:jc w:val="cente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6.10</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pStyle w:val="5"/>
              <w:spacing w:before="78" w:after="109" w:line="300" w:lineRule="exact"/>
              <w:jc w:val="center"/>
              <w:rPr>
                <w:rFonts w:ascii="仿宋_GB2312" w:hAnsi="仿宋" w:eastAsia="仿宋_GB2312"/>
              </w:rPr>
            </w:pPr>
            <w:r>
              <w:rPr>
                <w:rFonts w:hint="eastAsia" w:ascii="仿宋_GB2312" w:hAnsi="仿宋" w:eastAsia="仿宋_GB2312"/>
                <w:szCs w:val="21"/>
              </w:rPr>
              <w:t>备样</w:t>
            </w:r>
            <w:r>
              <w:rPr>
                <w:rFonts w:hint="eastAsia" w:ascii="仿宋_GB2312" w:hAnsi="仿宋" w:eastAsia="仿宋_GB231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4"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9</w:t>
            </w:r>
          </w:p>
        </w:tc>
        <w:tc>
          <w:tcPr>
            <w:tcW w:w="135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标志</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ascii="仿宋_GB2312" w:hAnsi="仿宋" w:eastAsia="仿宋_GB2312" w:cs="宋体"/>
                <w:sz w:val="24"/>
              </w:rPr>
              <w:t>GB/T</w:t>
            </w:r>
            <w:r>
              <w:rPr>
                <w:rFonts w:hint="eastAsia" w:ascii="仿宋_GB2312" w:hAnsi="仿宋" w:eastAsia="仿宋_GB2312" w:cs="宋体"/>
                <w:sz w:val="24"/>
              </w:rPr>
              <w:t xml:space="preserve"> </w:t>
            </w:r>
            <w:r>
              <w:rPr>
                <w:rFonts w:ascii="仿宋_GB2312" w:hAnsi="仿宋" w:eastAsia="仿宋_GB2312" w:cs="宋体"/>
                <w:sz w:val="24"/>
              </w:rPr>
              <w:t>28797-2012</w:t>
            </w:r>
          </w:p>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8.1</w:t>
            </w:r>
          </w:p>
        </w:tc>
        <w:tc>
          <w:tcPr>
            <w:tcW w:w="1276" w:type="dxa"/>
            <w:noWrap w:val="0"/>
            <w:vAlign w:val="center"/>
          </w:tcPr>
          <w:p>
            <w:pPr>
              <w:jc w:val="center"/>
            </w:pPr>
            <w:r>
              <w:rPr>
                <w:rFonts w:hint="eastAsia" w:ascii="仿宋_GB2312" w:hAnsi="仿宋" w:eastAsia="仿宋_GB2312" w:cs="宋体"/>
                <w:sz w:val="24"/>
              </w:rPr>
              <w:t>推荐性</w:t>
            </w:r>
          </w:p>
        </w:tc>
        <w:tc>
          <w:tcPr>
            <w:tcW w:w="2126" w:type="dxa"/>
            <w:noWrap w:val="0"/>
            <w:vAlign w:val="center"/>
          </w:tcPr>
          <w:p>
            <w:pPr>
              <w:spacing w:before="100" w:beforeAutospacing="1" w:after="100" w:afterAutospacing="1" w:line="300" w:lineRule="exact"/>
              <w:jc w:val="center"/>
              <w:rPr>
                <w:rFonts w:ascii="仿宋_GB2312" w:hAnsi="仿宋" w:eastAsia="仿宋_GB2312" w:cs="宋体"/>
                <w:sz w:val="24"/>
              </w:rPr>
            </w:pPr>
            <w:r>
              <w:rPr>
                <w:rFonts w:hint="eastAsia" w:ascii="仿宋_GB2312" w:hAnsi="仿宋" w:eastAsia="仿宋_GB2312" w:cs="宋体"/>
                <w:sz w:val="24"/>
              </w:rPr>
              <w:t>目测检查</w:t>
            </w:r>
          </w:p>
        </w:tc>
        <w:tc>
          <w:tcPr>
            <w:tcW w:w="1666" w:type="dxa"/>
            <w:noWrap w:val="0"/>
            <w:vAlign w:val="center"/>
          </w:tcPr>
          <w:p>
            <w:pPr>
              <w:pStyle w:val="8"/>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原样/</w:t>
            </w:r>
          </w:p>
          <w:p>
            <w:pPr>
              <w:pStyle w:val="5"/>
              <w:spacing w:before="78" w:after="109" w:line="300" w:lineRule="exact"/>
              <w:jc w:val="center"/>
              <w:rPr>
                <w:rFonts w:ascii="仿宋_GB2312" w:hAnsi="仿宋" w:eastAsia="仿宋_GB2312"/>
              </w:rPr>
            </w:pPr>
            <w:r>
              <w:rPr>
                <w:rFonts w:hint="eastAsia" w:ascii="仿宋_GB2312" w:hAnsi="仿宋" w:eastAsia="仿宋_GB2312"/>
                <w:szCs w:val="21"/>
              </w:rPr>
              <w:t>备样</w:t>
            </w:r>
            <w:r>
              <w:rPr>
                <w:rFonts w:hint="eastAsia" w:ascii="仿宋_GB2312" w:hAnsi="仿宋" w:eastAsia="仿宋_GB231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9" w:type="dxa"/>
            <w:gridSpan w:val="6"/>
            <w:noWrap w:val="0"/>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注：</w:t>
            </w:r>
          </w:p>
          <w:p>
            <w:pPr>
              <w:pStyle w:val="8"/>
              <w:adjustRightInd w:val="0"/>
              <w:snapToGrid w:val="0"/>
              <w:spacing w:line="320" w:lineRule="exact"/>
              <w:jc w:val="left"/>
              <w:rPr>
                <w:rFonts w:ascii="仿宋_GB2312" w:hAnsi="仿宋" w:eastAsia="仿宋_GB2312"/>
                <w:szCs w:val="21"/>
              </w:rPr>
            </w:pPr>
            <w:r>
              <w:rPr>
                <w:rFonts w:hint="eastAsia" w:ascii="仿宋_GB2312" w:hAnsi="仿宋" w:eastAsia="仿宋_GB2312"/>
                <w:sz w:val="24"/>
              </w:rPr>
              <w:t>1.</w:t>
            </w:r>
            <w:r>
              <w:rPr>
                <w:rFonts w:ascii="仿宋_GB2312" w:hAnsi="仿宋" w:eastAsia="仿宋_GB2312"/>
                <w:sz w:val="24"/>
              </w:rPr>
              <w:t>原则上用原样复检，当原样样本量不足时则用备样复检</w:t>
            </w:r>
            <w:r>
              <w:rPr>
                <w:rFonts w:hint="eastAsia" w:ascii="仿宋_GB2312" w:hAnsi="仿宋" w:eastAsia="仿宋_GB2312"/>
                <w:sz w:val="24"/>
              </w:rPr>
              <w:t>。</w:t>
            </w:r>
          </w:p>
        </w:tc>
      </w:tr>
    </w:tbl>
    <w:p>
      <w:pPr>
        <w:snapToGrid w:val="0"/>
        <w:spacing w:line="540" w:lineRule="exact"/>
        <w:rPr>
          <w:rFonts w:ascii="仿宋_GB2312" w:eastAsia="仿宋_GB2312" w:cs="Sim Sun"/>
          <w:b/>
          <w:kern w:val="0"/>
          <w:sz w:val="28"/>
          <w:szCs w:val="28"/>
        </w:rPr>
      </w:pPr>
    </w:p>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6.2.1</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pacing w:line="540" w:lineRule="exact"/>
        <w:rPr>
          <w:rFonts w:ascii="仿宋_GB2312" w:hAnsi="仿宋" w:eastAsia="仿宋_GB2312" w:cs="方正仿宋简体"/>
          <w:sz w:val="28"/>
          <w:szCs w:val="28"/>
        </w:rPr>
      </w:pPr>
      <w:r>
        <w:rPr>
          <w:rFonts w:hint="eastAsia" w:ascii="仿宋_GB2312" w:eastAsia="仿宋_GB2312" w:cs="Sim Sun"/>
          <w:b/>
          <w:kern w:val="0"/>
          <w:sz w:val="28"/>
          <w:szCs w:val="28"/>
        </w:rPr>
        <w:t xml:space="preserve">6.2.4 </w:t>
      </w:r>
      <w:r>
        <w:rPr>
          <w:rFonts w:hint="eastAsia" w:ascii="仿宋_GB2312" w:hAnsi="仿宋" w:eastAsia="仿宋_GB2312" w:cs="方正仿宋简体"/>
          <w:sz w:val="28"/>
          <w:szCs w:val="28"/>
        </w:rPr>
        <w:t>若被检产品明示的质量要求低于或包含规范中检验项目依据的推荐性标准要求时，应以被检产品明示的质量要求判定。</w:t>
      </w:r>
    </w:p>
    <w:p>
      <w:pPr>
        <w:spacing w:line="540" w:lineRule="exact"/>
        <w:rPr>
          <w:rFonts w:ascii="仿宋_GB2312" w:hAnsi="仿宋" w:eastAsia="仿宋_GB2312" w:cs="方正仿宋简体"/>
          <w:sz w:val="28"/>
          <w:szCs w:val="28"/>
        </w:rPr>
      </w:pPr>
      <w:r>
        <w:rPr>
          <w:rFonts w:hint="eastAsia" w:ascii="仿宋_GB2312" w:eastAsia="仿宋_GB2312" w:cs="Sim Sun"/>
          <w:b/>
          <w:kern w:val="0"/>
          <w:sz w:val="28"/>
          <w:szCs w:val="28"/>
        </w:rPr>
        <w:t xml:space="preserve">6.2.5 </w:t>
      </w:r>
      <w:r>
        <w:rPr>
          <w:rFonts w:hint="eastAsia" w:ascii="仿宋_GB2312" w:hAnsi="仿宋" w:eastAsia="仿宋_GB2312" w:cs="方正仿宋简体"/>
          <w:sz w:val="28"/>
          <w:szCs w:val="28"/>
        </w:rPr>
        <w:t>若被检产品明示的质量要求缺少本规范中检验项目依据的推荐性标准要求时，该项目不参与判定，但应在检验报告备注中进行说明。</w:t>
      </w:r>
    </w:p>
    <w:p>
      <w:pPr>
        <w:pStyle w:val="3"/>
      </w:pPr>
      <w:r>
        <w:rPr>
          <w:rFonts w:hint="eastAsia"/>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经检验，所检样品全部项目合格，判该产品本次监督检验结果合格；出现一项或一项以上项目不合格，判该产品本次监督检验结果不合格。</w:t>
      </w:r>
      <w:r>
        <w:rPr>
          <w:rFonts w:ascii="仿宋_GB2312" w:eastAsia="仿宋_GB2312" w:cs="Sim Sun"/>
          <w:kern w:val="0"/>
          <w:sz w:val="28"/>
          <w:szCs w:val="28"/>
        </w:rPr>
        <w:t>若产品明示质量要求不包含推荐性标准的项目时，</w:t>
      </w:r>
      <w:r>
        <w:rPr>
          <w:rFonts w:hint="eastAsia" w:ascii="仿宋_GB2312" w:eastAsia="仿宋_GB2312" w:cs="Sim Sun"/>
          <w:kern w:val="0"/>
          <w:sz w:val="28"/>
          <w:szCs w:val="28"/>
        </w:rPr>
        <w:t>则</w:t>
      </w:r>
      <w:r>
        <w:rPr>
          <w:rFonts w:ascii="仿宋_GB2312" w:eastAsia="仿宋_GB2312" w:cs="Sim Sun"/>
          <w:kern w:val="0"/>
          <w:sz w:val="28"/>
          <w:szCs w:val="28"/>
        </w:rPr>
        <w:t>仅</w:t>
      </w:r>
      <w:r>
        <w:rPr>
          <w:rFonts w:hint="eastAsia" w:ascii="仿宋_GB2312" w:eastAsia="仿宋_GB2312" w:cs="Sim Sun"/>
          <w:kern w:val="0"/>
          <w:sz w:val="28"/>
          <w:szCs w:val="28"/>
        </w:rPr>
        <w:t>对该项目</w:t>
      </w:r>
      <w:r>
        <w:rPr>
          <w:rFonts w:ascii="仿宋_GB2312" w:eastAsia="仿宋_GB2312" w:cs="Sim Sun"/>
          <w:kern w:val="0"/>
          <w:sz w:val="28"/>
          <w:szCs w:val="28"/>
        </w:rPr>
        <w:t>出实测值不参与判定</w:t>
      </w:r>
      <w:r>
        <w:rPr>
          <w:rFonts w:hint="eastAsia" w:ascii="仿宋_GB2312" w:eastAsia="仿宋_GB2312" w:cs="Sim Sun"/>
          <w:kern w:val="0"/>
          <w:sz w:val="28"/>
          <w:szCs w:val="28"/>
        </w:rPr>
        <w:t>（强制性项目除外）。</w:t>
      </w:r>
    </w:p>
    <w:p>
      <w:pPr>
        <w:pStyle w:val="3"/>
      </w:pPr>
      <w:r>
        <w:rPr>
          <w:rFonts w:hint="eastAsia"/>
        </w:rPr>
        <w:t>8 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深圳市市场监督管理局深汕监管局</w:t>
      </w:r>
      <w:r>
        <w:rPr>
          <w:rFonts w:ascii="仿宋_GB2312" w:eastAsia="仿宋_GB2312" w:cs="Sim Sun"/>
          <w:iCs/>
          <w:kern w:val="0"/>
          <w:sz w:val="28"/>
          <w:szCs w:val="28"/>
        </w:rPr>
        <w:t>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接到深圳市市场监督管理局深汕监管局的复检通知后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 xml:space="preserve">8.5 </w:t>
      </w:r>
      <w:r>
        <w:rPr>
          <w:rFonts w:hint="eastAsia" w:ascii="仿宋_GB2312" w:eastAsia="仿宋_GB2312" w:cs="Sim Sun"/>
          <w:kern w:val="0"/>
          <w:sz w:val="28"/>
          <w:szCs w:val="28"/>
        </w:rPr>
        <w:t>需对不合格项目复验时，按6.1选择复检样品。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深圳市市场监督管理局深汕监管局根据初检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pStyle w:val="3"/>
      </w:pPr>
      <w:r>
        <w:rPr>
          <w:rFonts w:hint="eastAsia"/>
        </w:rPr>
        <w:t>9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540" w:lineRule="exact"/>
        <w:ind w:firstLine="537" w:firstLineChars="192"/>
        <w:rPr>
          <w:rFonts w:hint="eastAsia"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6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paragraph" w:styleId="4">
    <w:name w:val="heading 8"/>
    <w:basedOn w:val="1"/>
    <w:next w:val="1"/>
    <w:qFormat/>
    <w:uiPriority w:val="0"/>
    <w:pPr>
      <w:keepNext/>
      <w:keepLines/>
      <w:spacing w:before="240" w:after="64" w:line="320" w:lineRule="auto"/>
      <w:outlineLvl w:val="7"/>
    </w:pPr>
    <w:rPr>
      <w:rFonts w:ascii="Cambria" w:hAnsi="Cambria" w:eastAsia="仿宋_GB2312"/>
      <w:b/>
      <w:sz w:val="28"/>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8">
    <w:name w:val="二级无标题条"/>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2020-08-25T07:08:33Z</dcterms:created>
  <dc:creator>changmy</dc:creator>
  <cp:lastModifiedBy>常孟园</cp:lastModifiedBy>
  <dcterms:modified xsi:type="dcterms:W3CDTF">2020-08-25T07:09:18Z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