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rPr>
      </w:pPr>
      <w:r>
        <w:rPr>
          <w:rFonts w:hint="eastAsia" w:ascii="黑体" w:hAnsi="黑体" w:eastAsia="黑体" w:cs="黑体"/>
          <w:sz w:val="32"/>
          <w:szCs w:val="32"/>
        </w:rPr>
        <w:t>附件4</w:t>
      </w:r>
    </w:p>
    <w:p>
      <w:pPr>
        <w:spacing w:line="600" w:lineRule="exact"/>
        <w:jc w:val="center"/>
        <w:rPr>
          <w:rFonts w:hint="eastAsia" w:ascii="华文中宋" w:hAnsi="华文中宋" w:eastAsia="华文中宋" w:cs="华文中宋"/>
          <w:sz w:val="40"/>
          <w:szCs w:val="40"/>
        </w:rPr>
      </w:pPr>
      <w:r>
        <w:rPr>
          <w:rFonts w:hint="eastAsia" w:ascii="华文中宋" w:hAnsi="华文中宋" w:eastAsia="华文中宋" w:cs="华文中宋"/>
          <w:sz w:val="40"/>
          <w:szCs w:val="40"/>
        </w:rPr>
        <w:t>深圳市市场监督管理局深汕特别合作区</w:t>
      </w:r>
    </w:p>
    <w:p>
      <w:pPr>
        <w:spacing w:line="600" w:lineRule="exact"/>
        <w:jc w:val="center"/>
        <w:rPr>
          <w:rFonts w:hint="eastAsia" w:ascii="华文中宋" w:hAnsi="华文中宋" w:eastAsia="华文中宋" w:cs="华文中宋"/>
          <w:sz w:val="40"/>
          <w:szCs w:val="40"/>
        </w:rPr>
      </w:pPr>
      <w:r>
        <w:rPr>
          <w:rFonts w:hint="eastAsia" w:ascii="华文中宋" w:hAnsi="华文中宋" w:eastAsia="华文中宋" w:cs="华文中宋"/>
          <w:sz w:val="40"/>
          <w:szCs w:val="40"/>
        </w:rPr>
        <w:t>陶瓷砖产品质量监督抽查实施规范</w:t>
      </w:r>
    </w:p>
    <w:p>
      <w:pPr>
        <w:spacing w:line="600" w:lineRule="exact"/>
        <w:jc w:val="center"/>
        <w:rPr>
          <w:rFonts w:ascii="黑体" w:hAnsi="黑体" w:eastAsia="黑体"/>
          <w:sz w:val="28"/>
        </w:rPr>
      </w:pPr>
      <w:r>
        <w:rPr>
          <w:rFonts w:hint="eastAsia" w:ascii="黑体" w:hAnsi="黑体" w:eastAsia="黑体"/>
          <w:sz w:val="28"/>
        </w:rPr>
        <w:t>编号：CCGF-SZ-202-2020</w:t>
      </w:r>
    </w:p>
    <w:p>
      <w:pPr>
        <w:spacing w:line="600" w:lineRule="exact"/>
        <w:jc w:val="center"/>
        <w:rPr>
          <w:rFonts w:ascii="黑体" w:hAnsi="黑体" w:eastAsia="黑体"/>
          <w:sz w:val="28"/>
        </w:rPr>
      </w:pP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适用范围</w:t>
      </w:r>
    </w:p>
    <w:p>
      <w:pPr>
        <w:snapToGrid w:val="0"/>
        <w:spacing w:line="360" w:lineRule="auto"/>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本实施规范适用于深圳市深汕特别合作区生产及流通领域陶瓷砖产品质量监督抽查。监督抽查产品范围适用于：陶瓷砖。</w:t>
      </w:r>
    </w:p>
    <w:p>
      <w:pPr>
        <w:snapToGrid w:val="0"/>
        <w:spacing w:line="360" w:lineRule="auto"/>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本实施规范内容包括适用范围、产品种类、术语和定义、检验依据、抽样、检验要求，判定原则及异议处理复检。</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产品种类</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产品种类见表1。</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43"/>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471"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产品种类</w:t>
            </w:r>
          </w:p>
        </w:tc>
        <w:tc>
          <w:tcPr>
            <w:tcW w:w="1843"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分类方法</w:t>
            </w:r>
          </w:p>
        </w:tc>
        <w:tc>
          <w:tcPr>
            <w:tcW w:w="4956"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71" w:type="dxa"/>
            <w:vMerge w:val="restart"/>
            <w:noWrap w:val="0"/>
            <w:vAlign w:val="center"/>
          </w:tcPr>
          <w:p>
            <w:pPr>
              <w:autoSpaceDE w:val="0"/>
              <w:autoSpaceDN w:val="0"/>
              <w:adjustRightInd w:val="0"/>
              <w:spacing w:line="30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陶瓷砖</w:t>
            </w:r>
          </w:p>
        </w:tc>
        <w:tc>
          <w:tcPr>
            <w:tcW w:w="1843" w:type="dxa"/>
            <w:noWrap w:val="0"/>
            <w:vAlign w:val="center"/>
          </w:tcPr>
          <w:p>
            <w:pPr>
              <w:autoSpaceDE w:val="0"/>
              <w:autoSpaceDN w:val="0"/>
              <w:adjustRightInd w:val="0"/>
              <w:spacing w:line="300" w:lineRule="exact"/>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成型方法</w:t>
            </w:r>
          </w:p>
        </w:tc>
        <w:tc>
          <w:tcPr>
            <w:tcW w:w="4956" w:type="dxa"/>
            <w:noWrap w:val="0"/>
            <w:vAlign w:val="center"/>
          </w:tcPr>
          <w:p>
            <w:pPr>
              <w:autoSpaceDE w:val="0"/>
              <w:autoSpaceDN w:val="0"/>
              <w:adjustRightInd w:val="0"/>
              <w:spacing w:line="300" w:lineRule="exac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挤压陶瓷砖、干压陶瓷砖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71" w:type="dxa"/>
            <w:vMerge w:val="continue"/>
            <w:noWrap w:val="0"/>
            <w:vAlign w:val="center"/>
          </w:tcPr>
          <w:p>
            <w:pPr>
              <w:autoSpaceDE w:val="0"/>
              <w:autoSpaceDN w:val="0"/>
              <w:adjustRightInd w:val="0"/>
              <w:spacing w:line="300" w:lineRule="exact"/>
              <w:jc w:val="center"/>
              <w:rPr>
                <w:rFonts w:hint="eastAsia" w:ascii="仿宋_GB2312" w:hAnsi="仿宋_GB2312" w:eastAsia="仿宋_GB2312" w:cs="仿宋_GB2312"/>
                <w:sz w:val="24"/>
                <w:szCs w:val="21"/>
              </w:rPr>
            </w:pPr>
          </w:p>
        </w:tc>
        <w:tc>
          <w:tcPr>
            <w:tcW w:w="1843" w:type="dxa"/>
            <w:noWrap w:val="0"/>
            <w:vAlign w:val="center"/>
          </w:tcPr>
          <w:p>
            <w:pPr>
              <w:autoSpaceDE w:val="0"/>
              <w:autoSpaceDN w:val="0"/>
              <w:adjustRightInd w:val="0"/>
              <w:spacing w:line="300" w:lineRule="exact"/>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吸水率</w:t>
            </w:r>
          </w:p>
        </w:tc>
        <w:tc>
          <w:tcPr>
            <w:tcW w:w="4956" w:type="dxa"/>
            <w:noWrap w:val="0"/>
            <w:vAlign w:val="center"/>
          </w:tcPr>
          <w:p>
            <w:pPr>
              <w:autoSpaceDE w:val="0"/>
              <w:autoSpaceDN w:val="0"/>
              <w:adjustRightInd w:val="0"/>
              <w:spacing w:line="300" w:lineRule="exac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瓷质砖、炻瓷砖、细炻砖、炻质砖、陶质砖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471" w:type="dxa"/>
            <w:vMerge w:val="continue"/>
            <w:noWrap w:val="0"/>
            <w:vAlign w:val="center"/>
          </w:tcPr>
          <w:p>
            <w:pPr>
              <w:autoSpaceDE w:val="0"/>
              <w:autoSpaceDN w:val="0"/>
              <w:adjustRightInd w:val="0"/>
              <w:spacing w:line="300" w:lineRule="exact"/>
              <w:jc w:val="center"/>
              <w:rPr>
                <w:rFonts w:hint="eastAsia" w:ascii="仿宋_GB2312" w:hAnsi="仿宋_GB2312" w:eastAsia="仿宋_GB2312" w:cs="仿宋_GB2312"/>
                <w:sz w:val="24"/>
                <w:szCs w:val="21"/>
              </w:rPr>
            </w:pPr>
          </w:p>
        </w:tc>
        <w:tc>
          <w:tcPr>
            <w:tcW w:w="1843" w:type="dxa"/>
            <w:noWrap w:val="0"/>
            <w:vAlign w:val="center"/>
          </w:tcPr>
          <w:p>
            <w:pPr>
              <w:autoSpaceDE w:val="0"/>
              <w:autoSpaceDN w:val="0"/>
              <w:adjustRightInd w:val="0"/>
              <w:spacing w:line="300" w:lineRule="exact"/>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用途</w:t>
            </w:r>
          </w:p>
        </w:tc>
        <w:tc>
          <w:tcPr>
            <w:tcW w:w="4956" w:type="dxa"/>
            <w:noWrap w:val="0"/>
            <w:vAlign w:val="center"/>
          </w:tcPr>
          <w:p>
            <w:pPr>
              <w:autoSpaceDE w:val="0"/>
              <w:autoSpaceDN w:val="0"/>
              <w:adjustRightInd w:val="0"/>
              <w:spacing w:line="300" w:lineRule="exac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内墙砖、外墙砖、地砖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471" w:type="dxa"/>
            <w:vMerge w:val="continue"/>
            <w:noWrap w:val="0"/>
            <w:vAlign w:val="center"/>
          </w:tcPr>
          <w:p>
            <w:pPr>
              <w:autoSpaceDE w:val="0"/>
              <w:autoSpaceDN w:val="0"/>
              <w:adjustRightInd w:val="0"/>
              <w:spacing w:line="300" w:lineRule="exact"/>
              <w:jc w:val="center"/>
              <w:rPr>
                <w:rFonts w:hint="eastAsia" w:ascii="仿宋_GB2312" w:hAnsi="仿宋_GB2312" w:eastAsia="仿宋_GB2312" w:cs="仿宋_GB2312"/>
                <w:sz w:val="24"/>
                <w:szCs w:val="21"/>
              </w:rPr>
            </w:pPr>
          </w:p>
        </w:tc>
        <w:tc>
          <w:tcPr>
            <w:tcW w:w="1843" w:type="dxa"/>
            <w:noWrap w:val="0"/>
            <w:vAlign w:val="center"/>
          </w:tcPr>
          <w:p>
            <w:pPr>
              <w:autoSpaceDE w:val="0"/>
              <w:autoSpaceDN w:val="0"/>
              <w:adjustRightInd w:val="0"/>
              <w:spacing w:line="300" w:lineRule="exact"/>
              <w:jc w:val="center"/>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表面特性</w:t>
            </w:r>
          </w:p>
        </w:tc>
        <w:tc>
          <w:tcPr>
            <w:tcW w:w="4956" w:type="dxa"/>
            <w:noWrap w:val="0"/>
            <w:vAlign w:val="center"/>
          </w:tcPr>
          <w:p>
            <w:pPr>
              <w:autoSpaceDE w:val="0"/>
              <w:autoSpaceDN w:val="0"/>
              <w:adjustRightInd w:val="0"/>
              <w:spacing w:line="300" w:lineRule="exact"/>
              <w:rPr>
                <w:rFonts w:hint="eastAsia" w:ascii="仿宋_GB2312" w:hAnsi="仿宋_GB2312" w:eastAsia="仿宋_GB2312" w:cs="仿宋_GB2312"/>
                <w:kern w:val="0"/>
                <w:sz w:val="24"/>
                <w:szCs w:val="21"/>
              </w:rPr>
            </w:pPr>
            <w:r>
              <w:rPr>
                <w:rFonts w:hint="eastAsia" w:ascii="仿宋_GB2312" w:hAnsi="仿宋_GB2312" w:eastAsia="仿宋_GB2312" w:cs="仿宋_GB2312"/>
                <w:kern w:val="0"/>
                <w:sz w:val="24"/>
                <w:szCs w:val="21"/>
              </w:rPr>
              <w:t>有釉砖、无釉砖</w:t>
            </w:r>
          </w:p>
        </w:tc>
      </w:tr>
    </w:tbl>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术语和定义</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陶瓷砖是指由粘土、长石和石英石为主要原料制造的用于覆盖墙面和地面的板状或块状建筑陶瓷制品。</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检验依据</w:t>
      </w:r>
    </w:p>
    <w:p>
      <w:pPr>
        <w:snapToGrid w:val="0"/>
        <w:spacing w:line="360" w:lineRule="auto"/>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凡是注日期的文件，其随后所有的修改单（不包括勘误的内容）或修订版不适用于本规范。凡是不注日期的文件，其最新版本适用于本规范。</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检验依据见表2。</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表2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标准号</w:t>
            </w:r>
          </w:p>
        </w:tc>
        <w:tc>
          <w:tcPr>
            <w:tcW w:w="4407"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标准名称</w:t>
            </w:r>
          </w:p>
        </w:tc>
        <w:tc>
          <w:tcPr>
            <w:tcW w:w="2786" w:type="dxa"/>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896" w:type="dxa"/>
            <w:noWrap w:val="0"/>
            <w:vAlign w:val="center"/>
          </w:tcPr>
          <w:p>
            <w:pPr>
              <w:autoSpaceDE w:val="0"/>
              <w:autoSpaceDN w:val="0"/>
              <w:adjustRightInd w:val="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GB/T 4100-2015</w:t>
            </w:r>
          </w:p>
        </w:tc>
        <w:tc>
          <w:tcPr>
            <w:tcW w:w="4407" w:type="dxa"/>
            <w:noWrap w:val="0"/>
            <w:vAlign w:val="center"/>
          </w:tcPr>
          <w:p>
            <w:pPr>
              <w:autoSpaceDE w:val="0"/>
              <w:autoSpaceDN w:val="0"/>
              <w:adjustRightInd w:val="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《陶瓷砖》</w:t>
            </w:r>
          </w:p>
        </w:tc>
        <w:tc>
          <w:tcPr>
            <w:tcW w:w="2786" w:type="dxa"/>
            <w:noWrap w:val="0"/>
            <w:vAlign w:val="center"/>
          </w:tcPr>
          <w:p>
            <w:pPr>
              <w:snapToGrid w:val="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sym w:font="Wingdings 2" w:char="F052"/>
            </w:r>
            <w:r>
              <w:rPr>
                <w:rFonts w:hint="eastAsia" w:ascii="仿宋_GB2312" w:hAnsi="仿宋_GB2312" w:eastAsia="仿宋_GB2312" w:cs="仿宋_GB2312"/>
                <w:sz w:val="24"/>
                <w:szCs w:val="21"/>
              </w:rPr>
              <w:t xml:space="preserve">CMA  </w:t>
            </w:r>
            <w:r>
              <w:rPr>
                <w:rFonts w:hint="eastAsia" w:ascii="仿宋_GB2312" w:hAnsi="仿宋_GB2312" w:eastAsia="仿宋_GB2312" w:cs="仿宋_GB2312"/>
                <w:sz w:val="24"/>
                <w:szCs w:val="21"/>
              </w:rPr>
              <w:sym w:font="Wingdings 2" w:char="F052"/>
            </w:r>
            <w:r>
              <w:rPr>
                <w:rFonts w:hint="eastAsia" w:ascii="仿宋_GB2312" w:hAnsi="仿宋_GB2312" w:eastAsia="仿宋_GB2312" w:cs="仿宋_GB2312"/>
                <w:sz w:val="24"/>
                <w:szCs w:val="21"/>
              </w:rPr>
              <w:t xml:space="preserve">CAL </w:t>
            </w:r>
            <w:r>
              <w:rPr>
                <w:rFonts w:hint="eastAsia" w:ascii="仿宋_GB2312" w:hAnsi="仿宋_GB2312" w:eastAsia="仿宋_GB2312" w:cs="仿宋_GB2312"/>
                <w:sz w:val="24"/>
                <w:szCs w:val="21"/>
              </w:rPr>
              <w:sym w:font="Wingdings 2" w:char="F052"/>
            </w:r>
            <w:r>
              <w:rPr>
                <w:rFonts w:hint="eastAsia" w:ascii="仿宋_GB2312" w:hAnsi="仿宋_GB2312" w:eastAsia="仿宋_GB2312" w:cs="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896" w:type="dxa"/>
            <w:noWrap w:val="0"/>
            <w:vAlign w:val="center"/>
          </w:tcPr>
          <w:p>
            <w:pPr>
              <w:autoSpaceDE w:val="0"/>
              <w:autoSpaceDN w:val="0"/>
              <w:adjustRightInd w:val="0"/>
              <w:ind w:firstLine="120" w:firstLineChars="5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GB 6566-2010</w:t>
            </w:r>
          </w:p>
        </w:tc>
        <w:tc>
          <w:tcPr>
            <w:tcW w:w="4407" w:type="dxa"/>
            <w:noWrap w:val="0"/>
            <w:vAlign w:val="center"/>
          </w:tcPr>
          <w:p>
            <w:pPr>
              <w:autoSpaceDE w:val="0"/>
              <w:autoSpaceDN w:val="0"/>
              <w:adjustRightInd w:val="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《建筑材料放射性核素限量》</w:t>
            </w:r>
          </w:p>
        </w:tc>
        <w:tc>
          <w:tcPr>
            <w:tcW w:w="2786" w:type="dxa"/>
            <w:noWrap w:val="0"/>
            <w:vAlign w:val="center"/>
          </w:tcPr>
          <w:p>
            <w:pPr>
              <w:snapToGrid w:val="0"/>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sym w:font="Wingdings 2" w:char="F052"/>
            </w:r>
            <w:r>
              <w:rPr>
                <w:rFonts w:hint="eastAsia" w:ascii="仿宋_GB2312" w:hAnsi="仿宋_GB2312" w:eastAsia="仿宋_GB2312" w:cs="仿宋_GB2312"/>
                <w:sz w:val="24"/>
                <w:szCs w:val="21"/>
              </w:rPr>
              <w:t xml:space="preserve">CMA  </w:t>
            </w:r>
            <w:r>
              <w:rPr>
                <w:rFonts w:hint="eastAsia" w:ascii="仿宋_GB2312" w:hAnsi="仿宋_GB2312" w:eastAsia="仿宋_GB2312" w:cs="仿宋_GB2312"/>
                <w:sz w:val="24"/>
                <w:szCs w:val="21"/>
              </w:rPr>
              <w:sym w:font="Wingdings 2" w:char="F052"/>
            </w:r>
            <w:r>
              <w:rPr>
                <w:rFonts w:hint="eastAsia" w:ascii="仿宋_GB2312" w:hAnsi="仿宋_GB2312" w:eastAsia="仿宋_GB2312" w:cs="仿宋_GB2312"/>
                <w:sz w:val="24"/>
                <w:szCs w:val="21"/>
              </w:rPr>
              <w:t xml:space="preserve">CAL </w:t>
            </w:r>
            <w:r>
              <w:rPr>
                <w:rFonts w:hint="eastAsia" w:ascii="仿宋_GB2312" w:hAnsi="仿宋_GB2312" w:eastAsia="仿宋_GB2312" w:cs="仿宋_GB2312"/>
                <w:sz w:val="24"/>
                <w:szCs w:val="21"/>
              </w:rPr>
              <w:sym w:font="Wingdings 2" w:char="F052"/>
            </w:r>
            <w:r>
              <w:rPr>
                <w:rFonts w:hint="eastAsia" w:ascii="仿宋_GB2312" w:hAnsi="仿宋_GB2312" w:eastAsia="仿宋_GB2312" w:cs="仿宋_GB2312"/>
                <w:sz w:val="24"/>
                <w:szCs w:val="21"/>
              </w:rPr>
              <w:t>CNAS</w:t>
            </w:r>
          </w:p>
        </w:tc>
      </w:tr>
    </w:tbl>
    <w:p>
      <w:pPr>
        <w:snapToGrid w:val="0"/>
        <w:spacing w:line="360" w:lineRule="auto"/>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相关的产品强制性标准、行业标准、政府法规及产品的明示标准和明示担保内容。</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抽样</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 抽样型号或规格</w:t>
      </w:r>
    </w:p>
    <w:p>
      <w:pPr>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抽取样品须为同一型号规格，同一批次的产品。</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5.2 取样方式 </w:t>
      </w:r>
    </w:p>
    <w:p>
      <w:pPr>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生产领域：</w:t>
      </w:r>
      <w:r>
        <w:rPr>
          <w:rFonts w:hint="eastAsia" w:ascii="仿宋_GB2312" w:hAnsi="仿宋_GB2312" w:eastAsia="仿宋_GB2312" w:cs="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p>
    <w:p>
      <w:pPr>
        <w:snapToGrid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流通领域：</w:t>
      </w:r>
      <w:r>
        <w:rPr>
          <w:rFonts w:hint="eastAsia" w:ascii="仿宋_GB2312" w:hAnsi="仿宋_GB2312" w:eastAsia="仿宋_GB2312" w:cs="仿宋_GB2312"/>
          <w:sz w:val="28"/>
          <w:szCs w:val="28"/>
        </w:rPr>
        <w:t>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 抽样基数</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在生产领域和流通领域抽样时，抽样基数应不少于抽取样品量。</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 抽样数量</w:t>
      </w:r>
    </w:p>
    <w:p>
      <w:pPr>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抽样数量见表3。</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表3  抽样数量</w:t>
      </w:r>
    </w:p>
    <w:tbl>
      <w:tblPr>
        <w:tblStyle w:val="4"/>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6"/>
              <w:spacing w:before="78" w:after="109"/>
              <w:ind w:firstLine="0" w:firstLineChars="0"/>
              <w:jc w:val="center"/>
              <w:rPr>
                <w:rFonts w:hint="eastAsia" w:hAnsi="仿宋_GB2312" w:cs="仿宋_GB2312"/>
                <w:sz w:val="24"/>
              </w:rPr>
            </w:pPr>
            <w:r>
              <w:rPr>
                <w:rFonts w:hint="eastAsia" w:hAnsi="仿宋_GB2312" w:cs="仿宋_GB2312"/>
                <w:sz w:val="24"/>
              </w:rPr>
              <w:t>产品名称</w:t>
            </w:r>
          </w:p>
        </w:tc>
        <w:tc>
          <w:tcPr>
            <w:tcW w:w="3402" w:type="dxa"/>
            <w:noWrap w:val="0"/>
            <w:vAlign w:val="center"/>
          </w:tcPr>
          <w:p>
            <w:pPr>
              <w:pStyle w:val="6"/>
              <w:spacing w:before="78" w:after="109"/>
              <w:ind w:firstLine="0" w:firstLineChars="0"/>
              <w:jc w:val="center"/>
              <w:rPr>
                <w:rFonts w:hint="eastAsia" w:hAnsi="仿宋_GB2312" w:cs="仿宋_GB2312"/>
                <w:sz w:val="24"/>
              </w:rPr>
            </w:pPr>
            <w:r>
              <w:rPr>
                <w:rFonts w:hint="eastAsia" w:hAnsi="仿宋_GB2312" w:cs="仿宋_GB2312"/>
                <w:sz w:val="24"/>
              </w:rPr>
              <w:t>检验样品数量</w:t>
            </w:r>
          </w:p>
        </w:tc>
        <w:tc>
          <w:tcPr>
            <w:tcW w:w="3198" w:type="dxa"/>
            <w:noWrap w:val="0"/>
            <w:vAlign w:val="center"/>
          </w:tcPr>
          <w:p>
            <w:pPr>
              <w:pStyle w:val="6"/>
              <w:spacing w:before="78" w:after="109"/>
              <w:ind w:firstLine="0" w:firstLineChars="0"/>
              <w:jc w:val="center"/>
              <w:rPr>
                <w:rFonts w:hint="eastAsia" w:hAnsi="仿宋_GB2312" w:cs="仿宋_GB2312"/>
                <w:sz w:val="24"/>
              </w:rPr>
            </w:pPr>
            <w:r>
              <w:rPr>
                <w:rFonts w:hint="eastAsia" w:hAnsi="仿宋_GB2312" w:cs="仿宋_GB2312"/>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3"/>
              <w:snapToGrid w:val="0"/>
              <w:spacing w:before="78" w:beforeLines="25" w:after="78" w:afterLines="2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陶瓷砖</w:t>
            </w:r>
          </w:p>
        </w:tc>
        <w:tc>
          <w:tcPr>
            <w:tcW w:w="3402" w:type="dxa"/>
            <w:noWrap w:val="0"/>
            <w:vAlign w:val="center"/>
          </w:tcPr>
          <w:p>
            <w:pPr>
              <w:pStyle w:val="3"/>
              <w:snapToGrid w:val="0"/>
              <w:spacing w:before="78" w:beforeLines="25" w:after="78" w:afterLines="2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10块</w:t>
            </w:r>
          </w:p>
        </w:tc>
        <w:tc>
          <w:tcPr>
            <w:tcW w:w="3198" w:type="dxa"/>
            <w:noWrap w:val="0"/>
            <w:vAlign w:val="center"/>
          </w:tcPr>
          <w:p>
            <w:pPr>
              <w:pStyle w:val="3"/>
              <w:snapToGrid w:val="0"/>
              <w:spacing w:before="78" w:beforeLines="25" w:after="78" w:afterLines="2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10块</w:t>
            </w:r>
          </w:p>
        </w:tc>
      </w:tr>
    </w:tbl>
    <w:p>
      <w:pPr>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生产领域及流通领域抽样，检验样品带回承检机构，备用样品封存于承检机构。</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 取样要求</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5.5.1</w:t>
      </w:r>
      <w:r>
        <w:rPr>
          <w:rFonts w:hint="eastAsia" w:ascii="仿宋_GB2312" w:hAnsi="仿宋_GB2312" w:eastAsia="仿宋_GB2312" w:cs="仿宋_GB2312"/>
          <w:sz w:val="28"/>
          <w:szCs w:val="28"/>
        </w:rPr>
        <w:t xml:space="preserve"> 样品应当由抽样人员在被抽样生产者、销售者的代销产品中随机抽取，不得由被抽样生产者、销售者自行抽样。</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5.5.2</w:t>
      </w:r>
      <w:r>
        <w:rPr>
          <w:rFonts w:hint="eastAsia" w:ascii="仿宋_GB2312" w:hAnsi="仿宋_GB2312" w:eastAsia="仿宋_GB2312" w:cs="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5.5.3</w:t>
      </w:r>
      <w:r>
        <w:rPr>
          <w:rFonts w:hint="eastAsia" w:ascii="仿宋_GB2312" w:hAnsi="仿宋_GB2312" w:eastAsia="仿宋_GB2312" w:cs="仿宋_GB2312"/>
          <w:sz w:val="28"/>
          <w:szCs w:val="28"/>
        </w:rPr>
        <w:t xml:space="preserve"> 抽样时应一并抽取产品的配件、赠品等。</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 样品处置</w:t>
      </w:r>
    </w:p>
    <w:p>
      <w:pPr>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5.6.1</w:t>
      </w:r>
      <w:r>
        <w:rPr>
          <w:rFonts w:hint="eastAsia" w:ascii="仿宋_GB2312" w:hAnsi="仿宋_GB2312"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5.6.2</w:t>
      </w:r>
      <w:r>
        <w:rPr>
          <w:rFonts w:hint="eastAsia" w:ascii="仿宋_GB2312" w:hAnsi="仿宋_GB2312" w:eastAsia="仿宋_GB2312" w:cs="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 抽样单</w:t>
      </w:r>
    </w:p>
    <w:p>
      <w:pPr>
        <w:snapToGrid w:val="0"/>
        <w:spacing w:line="600" w:lineRule="exact"/>
        <w:ind w:firstLine="537" w:firstLineChars="192"/>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应按有关规定填写抽样单，并记录被抽查产品及企业相关信息。</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检验要求</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 检验项目</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表4 检验项目、依据及方法等要求</w:t>
      </w:r>
    </w:p>
    <w:tbl>
      <w:tblPr>
        <w:tblStyle w:val="4"/>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2"/>
        <w:gridCol w:w="801"/>
        <w:gridCol w:w="706"/>
        <w:gridCol w:w="2395"/>
        <w:gridCol w:w="1268"/>
        <w:gridCol w:w="211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6" w:hRule="atLeast"/>
          <w:tblHeader/>
        </w:trPr>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序号</w:t>
            </w:r>
          </w:p>
        </w:tc>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检验项目</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检测依据</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项目性质</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检测方法</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9" w:hRule="atLeast"/>
        </w:trPr>
        <w:tc>
          <w:tcPr>
            <w:tcW w:w="752" w:type="dxa"/>
            <w:tcBorders>
              <w:top w:val="single" w:color="auto" w:sz="2" w:space="0"/>
              <w:left w:val="single" w:color="auto" w:sz="4" w:space="0"/>
              <w:bottom w:val="single" w:color="auto" w:sz="4" w:space="0"/>
              <w:right w:val="single" w:color="auto" w:sz="4" w:space="0"/>
            </w:tcBorders>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w:t>
            </w:r>
          </w:p>
        </w:tc>
        <w:tc>
          <w:tcPr>
            <w:tcW w:w="801" w:type="dxa"/>
            <w:vMerge w:val="restart"/>
            <w:tcBorders>
              <w:top w:val="single" w:color="auto" w:sz="2"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物理</w:t>
            </w:r>
          </w:p>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性能</w:t>
            </w:r>
          </w:p>
        </w:tc>
        <w:tc>
          <w:tcPr>
            <w:tcW w:w="706" w:type="dxa"/>
            <w:tcBorders>
              <w:top w:val="single" w:color="auto" w:sz="2" w:space="0"/>
              <w:left w:val="single" w:color="auto" w:sz="4" w:space="0"/>
              <w:bottom w:val="single" w:color="auto" w:sz="4" w:space="0"/>
              <w:right w:val="single" w:color="auto" w:sz="4" w:space="0"/>
            </w:tcBorders>
            <w:noWrap w:val="0"/>
            <w:vAlign w:val="center"/>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吸水率</w:t>
            </w:r>
          </w:p>
        </w:tc>
        <w:tc>
          <w:tcPr>
            <w:tcW w:w="2395" w:type="dxa"/>
            <w:vMerge w:val="restart"/>
            <w:tcBorders>
              <w:top w:val="single" w:color="auto" w:sz="2"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GB/T 4100-2015 5</w:t>
            </w:r>
          </w:p>
        </w:tc>
        <w:tc>
          <w:tcPr>
            <w:tcW w:w="1268" w:type="dxa"/>
            <w:vMerge w:val="restart"/>
            <w:tcBorders>
              <w:top w:val="single" w:color="auto" w:sz="2" w:space="0"/>
              <w:left w:val="single" w:color="auto" w:sz="4" w:space="0"/>
              <w:bottom w:val="single" w:color="auto" w:sz="4" w:space="0"/>
              <w:right w:val="single" w:color="auto" w:sz="4" w:space="0"/>
            </w:tcBorders>
            <w:noWrap w:val="0"/>
            <w:vAlign w:val="center"/>
          </w:tcPr>
          <w:p>
            <w:pPr>
              <w:snapToGrid w:val="0"/>
              <w:spacing w:before="78" w:beforeLines="25" w:after="78" w:afterLines="25"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推荐性</w:t>
            </w:r>
          </w:p>
        </w:tc>
        <w:tc>
          <w:tcPr>
            <w:tcW w:w="2112" w:type="dxa"/>
            <w:tcBorders>
              <w:top w:val="single" w:color="auto" w:sz="2"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GB/T 3810.3-2016</w:t>
            </w:r>
          </w:p>
        </w:tc>
        <w:tc>
          <w:tcPr>
            <w:tcW w:w="929" w:type="dxa"/>
            <w:vMerge w:val="restart"/>
            <w:tcBorders>
              <w:top w:val="single" w:color="auto" w:sz="2" w:space="0"/>
              <w:left w:val="single" w:color="auto" w:sz="4" w:space="0"/>
              <w:bottom w:val="single" w:color="auto" w:sz="4" w:space="0"/>
              <w:right w:val="single" w:color="auto" w:sz="4" w:space="0"/>
            </w:tcBorders>
            <w:noWrap w:val="0"/>
            <w:vAlign w:val="center"/>
          </w:tcPr>
          <w:p>
            <w:pPr>
              <w:snapToGrid w:val="0"/>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9" w:hRule="atLeast"/>
        </w:trPr>
        <w:tc>
          <w:tcPr>
            <w:tcW w:w="752" w:type="dxa"/>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w:t>
            </w:r>
          </w:p>
        </w:tc>
        <w:tc>
          <w:tcPr>
            <w:tcW w:w="801"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rPr>
            </w:pPr>
          </w:p>
        </w:tc>
        <w:tc>
          <w:tcPr>
            <w:tcW w:w="706" w:type="dxa"/>
            <w:tcBorders>
              <w:top w:val="single" w:color="auto" w:sz="2" w:space="0"/>
              <w:left w:val="single" w:color="auto" w:sz="4" w:space="0"/>
              <w:bottom w:val="single" w:color="auto" w:sz="4" w:space="0"/>
              <w:right w:val="single" w:color="auto" w:sz="4" w:space="0"/>
            </w:tcBorders>
            <w:noWrap w:val="0"/>
            <w:vAlign w:val="center"/>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破坏强度</w:t>
            </w:r>
          </w:p>
        </w:tc>
        <w:tc>
          <w:tcPr>
            <w:tcW w:w="2395"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rPr>
            </w:pPr>
          </w:p>
        </w:tc>
        <w:tc>
          <w:tcPr>
            <w:tcW w:w="1268"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rPr>
            </w:pPr>
          </w:p>
        </w:tc>
        <w:tc>
          <w:tcPr>
            <w:tcW w:w="2112" w:type="dxa"/>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ind w:firstLine="120" w:firstLineChars="50"/>
              <w:jc w:val="left"/>
              <w:rPr>
                <w:rFonts w:hint="eastAsia" w:ascii="仿宋_GB2312" w:hAnsi="仿宋_GB2312" w:eastAsia="仿宋_GB2312" w:cs="仿宋_GB2312"/>
                <w:sz w:val="24"/>
              </w:rPr>
            </w:pPr>
            <w:r>
              <w:rPr>
                <w:rFonts w:hint="eastAsia" w:ascii="仿宋_GB2312" w:hAnsi="仿宋_GB2312" w:eastAsia="仿宋_GB2312" w:cs="仿宋_GB2312"/>
                <w:sz w:val="24"/>
              </w:rPr>
              <w:t>GB/T 3810.4-2016</w:t>
            </w:r>
          </w:p>
        </w:tc>
        <w:tc>
          <w:tcPr>
            <w:tcW w:w="929"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52" w:type="dxa"/>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w:t>
            </w:r>
          </w:p>
        </w:tc>
        <w:tc>
          <w:tcPr>
            <w:tcW w:w="801"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rPr>
            </w:pPr>
          </w:p>
        </w:tc>
        <w:tc>
          <w:tcPr>
            <w:tcW w:w="706" w:type="dxa"/>
            <w:tcBorders>
              <w:top w:val="single" w:color="auto" w:sz="2" w:space="0"/>
              <w:left w:val="single" w:color="auto" w:sz="4" w:space="0"/>
              <w:bottom w:val="single" w:color="auto" w:sz="4" w:space="0"/>
              <w:right w:val="single" w:color="auto" w:sz="4" w:space="0"/>
            </w:tcBorders>
            <w:noWrap w:val="0"/>
            <w:vAlign w:val="center"/>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断裂模数</w:t>
            </w:r>
          </w:p>
        </w:tc>
        <w:tc>
          <w:tcPr>
            <w:tcW w:w="2395"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rPr>
            </w:pPr>
          </w:p>
        </w:tc>
        <w:tc>
          <w:tcPr>
            <w:tcW w:w="1268"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rPr>
            </w:pPr>
          </w:p>
        </w:tc>
        <w:tc>
          <w:tcPr>
            <w:tcW w:w="2112" w:type="dxa"/>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GB/T 3810.4-2016</w:t>
            </w:r>
          </w:p>
        </w:tc>
        <w:tc>
          <w:tcPr>
            <w:tcW w:w="929"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6" w:hRule="atLeast"/>
        </w:trPr>
        <w:tc>
          <w:tcPr>
            <w:tcW w:w="752" w:type="dxa"/>
            <w:tcBorders>
              <w:top w:val="single" w:color="auto" w:sz="2" w:space="0"/>
              <w:left w:val="single" w:color="auto" w:sz="4" w:space="0"/>
              <w:bottom w:val="single" w:color="auto" w:sz="4" w:space="0"/>
              <w:right w:val="single" w:color="auto" w:sz="4" w:space="0"/>
            </w:tcBorders>
            <w:noWrap w:val="0"/>
            <w:vAlign w:val="center"/>
          </w:tcPr>
          <w:p>
            <w:pPr>
              <w:widowControl/>
              <w:snapToGrid w:val="0"/>
              <w:spacing w:line="0" w:lineRule="atLeas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w:t>
            </w:r>
          </w:p>
        </w:tc>
        <w:tc>
          <w:tcPr>
            <w:tcW w:w="1507" w:type="dxa"/>
            <w:gridSpan w:val="2"/>
            <w:tcBorders>
              <w:top w:val="single" w:color="auto" w:sz="2"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放射性核素</w:t>
            </w:r>
          </w:p>
        </w:tc>
        <w:tc>
          <w:tcPr>
            <w:tcW w:w="2395" w:type="dxa"/>
            <w:tcBorders>
              <w:top w:val="single" w:color="auto" w:sz="2"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GB 6566-2010 3</w:t>
            </w:r>
          </w:p>
        </w:tc>
        <w:tc>
          <w:tcPr>
            <w:tcW w:w="1268" w:type="dxa"/>
            <w:tcBorders>
              <w:top w:val="single" w:color="auto" w:sz="2"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sz w:val="24"/>
              </w:rPr>
              <w:t>强制性</w:t>
            </w:r>
          </w:p>
        </w:tc>
        <w:tc>
          <w:tcPr>
            <w:tcW w:w="2112" w:type="dxa"/>
            <w:tcBorders>
              <w:top w:val="single" w:color="auto" w:sz="2"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GB 6566-2010 4</w:t>
            </w:r>
          </w:p>
        </w:tc>
        <w:tc>
          <w:tcPr>
            <w:tcW w:w="929" w:type="dxa"/>
            <w:tcBorders>
              <w:top w:val="single" w:color="auto" w:sz="2" w:space="0"/>
              <w:left w:val="single" w:color="auto" w:sz="4" w:space="0"/>
              <w:bottom w:val="single" w:color="auto" w:sz="4" w:space="0"/>
              <w:right w:val="single" w:color="auto" w:sz="4" w:space="0"/>
            </w:tcBorders>
            <w:noWrap w:val="0"/>
            <w:vAlign w:val="center"/>
          </w:tcPr>
          <w:p>
            <w:pPr>
              <w:snapToGrid w:val="0"/>
              <w:spacing w:line="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szCs w:val="21"/>
              </w:rPr>
              <w:t>备样</w:t>
            </w:r>
          </w:p>
        </w:tc>
      </w:tr>
    </w:tbl>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 检验应注意的问题</w:t>
      </w:r>
    </w:p>
    <w:p>
      <w:pPr>
        <w:snapToGrid w:val="0"/>
        <w:spacing w:line="600" w:lineRule="exact"/>
        <w:rPr>
          <w:rFonts w:hint="eastAsia" w:ascii="仿宋_GB2312" w:hAnsi="仿宋_GB2312" w:eastAsia="仿宋_GB2312" w:cs="仿宋_GB2312"/>
          <w:iCs/>
          <w:sz w:val="28"/>
          <w:szCs w:val="28"/>
        </w:rPr>
      </w:pPr>
      <w:r>
        <w:rPr>
          <w:rFonts w:hint="eastAsia" w:ascii="仿宋_GB2312" w:hAnsi="仿宋_GB2312" w:eastAsia="仿宋_GB2312" w:cs="仿宋_GB2312"/>
          <w:b/>
          <w:kern w:val="0"/>
          <w:sz w:val="28"/>
          <w:szCs w:val="28"/>
        </w:rPr>
        <w:t>6.2.1</w:t>
      </w:r>
      <w:r>
        <w:rPr>
          <w:rFonts w:hint="eastAsia" w:ascii="仿宋_GB2312" w:hAnsi="仿宋_GB2312" w:eastAsia="仿宋_GB2312" w:cs="仿宋_GB2312"/>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仿宋_GB2312" w:eastAsia="仿宋_GB2312" w:cs="仿宋_GB2312"/>
          <w:sz w:val="28"/>
          <w:szCs w:val="28"/>
        </w:rPr>
        <w:t>备用</w:t>
      </w:r>
      <w:r>
        <w:rPr>
          <w:rFonts w:hint="eastAsia" w:ascii="仿宋_GB2312" w:hAnsi="仿宋_GB2312" w:eastAsia="仿宋_GB2312" w:cs="仿宋_GB2312"/>
          <w:iCs/>
          <w:sz w:val="28"/>
          <w:szCs w:val="28"/>
        </w:rPr>
        <w:t>样品应该贮存在阴凉、干燥、安全、避光处，在整个保存期间应保证签封完整无损。</w:t>
      </w:r>
    </w:p>
    <w:p>
      <w:pPr>
        <w:snapToGrid w:val="0"/>
        <w:spacing w:line="6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6.2.2</w:t>
      </w:r>
      <w:r>
        <w:rPr>
          <w:rFonts w:hint="eastAsia" w:ascii="仿宋_GB2312" w:hAnsi="仿宋_GB2312" w:eastAsia="仿宋_GB2312" w:cs="仿宋_GB2312"/>
          <w:kern w:val="0"/>
          <w:sz w:val="28"/>
          <w:szCs w:val="28"/>
        </w:rPr>
        <w:t>若被检产品明示的质量要求高于或包含本规范中检验项目依据的标准要求时，应按被检产品明示的质量要求判定。</w:t>
      </w:r>
    </w:p>
    <w:p>
      <w:pPr>
        <w:snapToGrid w:val="0"/>
        <w:spacing w:line="6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6.2.3</w:t>
      </w:r>
      <w:r>
        <w:rPr>
          <w:rFonts w:hint="eastAsia" w:ascii="仿宋_GB2312" w:hAnsi="仿宋_GB2312" w:eastAsia="仿宋_GB2312" w:cs="仿宋_GB2312"/>
          <w:kern w:val="0"/>
          <w:sz w:val="28"/>
          <w:szCs w:val="28"/>
        </w:rPr>
        <w:t>若被检产品明示的质量要求低于或缺少本规范中检验项目依据的强制性标准要求时，应按照强制性标准要求判定。</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判定原则</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经检验，所检样品全部项目合格，判该产品本次监督检验结果合格；出现一项或一项以上</w:t>
      </w:r>
      <w:r>
        <w:rPr>
          <w:rFonts w:hint="eastAsia" w:ascii="仿宋_GB2312" w:hAnsi="仿宋_GB2312" w:eastAsia="仿宋_GB2312" w:cs="仿宋_GB2312"/>
          <w:sz w:val="28"/>
          <w:szCs w:val="28"/>
        </w:rPr>
        <w:t>项目</w:t>
      </w:r>
      <w:r>
        <w:rPr>
          <w:rFonts w:hint="eastAsia" w:ascii="仿宋_GB2312" w:hAnsi="仿宋_GB2312" w:eastAsia="仿宋_GB2312" w:cs="仿宋_GB2312"/>
          <w:kern w:val="0"/>
          <w:sz w:val="28"/>
          <w:szCs w:val="28"/>
        </w:rPr>
        <w:t>不合格，判该产品本次监督检验结果不合格。</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 异议处理复检</w:t>
      </w:r>
    </w:p>
    <w:p>
      <w:pPr>
        <w:snapToGrid w:val="0"/>
        <w:spacing w:line="600" w:lineRule="exact"/>
        <w:rPr>
          <w:rFonts w:hint="eastAsia" w:ascii="仿宋_GB2312" w:hAnsi="仿宋_GB2312" w:eastAsia="仿宋_GB2312" w:cs="仿宋_GB2312"/>
          <w:iCs/>
          <w:kern w:val="0"/>
          <w:sz w:val="28"/>
          <w:szCs w:val="28"/>
        </w:rPr>
      </w:pPr>
      <w:r>
        <w:rPr>
          <w:rFonts w:hint="eastAsia" w:ascii="仿宋_GB2312" w:hAnsi="仿宋_GB2312" w:eastAsia="仿宋_GB2312" w:cs="仿宋_GB2312"/>
          <w:b/>
          <w:iCs/>
          <w:kern w:val="0"/>
          <w:sz w:val="28"/>
          <w:szCs w:val="28"/>
        </w:rPr>
        <w:t>8.1</w:t>
      </w:r>
      <w:r>
        <w:rPr>
          <w:rFonts w:hint="eastAsia" w:ascii="仿宋_GB2312" w:hAnsi="仿宋_GB2312" w:eastAsia="仿宋_GB2312" w:cs="仿宋_GB2312"/>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hint="eastAsia" w:ascii="仿宋_GB2312" w:hAnsi="仿宋_GB2312" w:eastAsia="仿宋_GB2312" w:cs="仿宋_GB2312"/>
          <w:iCs/>
          <w:kern w:val="0"/>
          <w:sz w:val="28"/>
          <w:szCs w:val="28"/>
        </w:rPr>
      </w:pPr>
      <w:r>
        <w:rPr>
          <w:rFonts w:hint="eastAsia" w:ascii="仿宋_GB2312" w:hAnsi="仿宋_GB2312" w:eastAsia="仿宋_GB2312" w:cs="仿宋_GB2312"/>
          <w:b/>
          <w:iCs/>
          <w:kern w:val="0"/>
          <w:sz w:val="28"/>
          <w:szCs w:val="28"/>
        </w:rPr>
        <w:t>8.2</w:t>
      </w:r>
      <w:r>
        <w:rPr>
          <w:rFonts w:hint="eastAsia" w:ascii="仿宋_GB2312" w:hAnsi="仿宋_GB2312" w:eastAsia="仿宋_GB2312" w:cs="仿宋_GB2312"/>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hint="eastAsia" w:ascii="仿宋_GB2312" w:hAnsi="仿宋_GB2312" w:eastAsia="仿宋_GB2312" w:cs="仿宋_GB2312"/>
          <w:iCs/>
          <w:kern w:val="0"/>
          <w:sz w:val="28"/>
          <w:szCs w:val="28"/>
        </w:rPr>
      </w:pPr>
      <w:r>
        <w:rPr>
          <w:rFonts w:hint="eastAsia" w:ascii="仿宋_GB2312" w:hAnsi="仿宋_GB2312" w:eastAsia="仿宋_GB2312" w:cs="仿宋_GB2312"/>
          <w:b/>
          <w:kern w:val="0"/>
          <w:sz w:val="28"/>
          <w:szCs w:val="28"/>
        </w:rPr>
        <w:t>8.3</w:t>
      </w:r>
      <w:r>
        <w:rPr>
          <w:rFonts w:hint="eastAsia" w:ascii="仿宋_GB2312" w:hAnsi="仿宋_GB2312" w:eastAsia="仿宋_GB2312" w:cs="仿宋_GB2312"/>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b/>
          <w:bCs/>
          <w:iCs/>
          <w:kern w:val="0"/>
          <w:sz w:val="28"/>
          <w:szCs w:val="28"/>
        </w:rPr>
        <w:t xml:space="preserve">8.4 </w:t>
      </w:r>
      <w:r>
        <w:rPr>
          <w:rFonts w:hint="eastAsia" w:ascii="仿宋_GB2312" w:hAnsi="仿宋_GB2312" w:eastAsia="仿宋_GB2312" w:cs="仿宋_GB2312"/>
          <w:iCs/>
          <w:kern w:val="0"/>
          <w:sz w:val="28"/>
          <w:szCs w:val="28"/>
        </w:rPr>
        <w:t>若复检机构与初检机构未同一家机构，则复验检验人员与初检检验人员不得为同一人（含审核人员）。</w:t>
      </w:r>
    </w:p>
    <w:p>
      <w:pPr>
        <w:snapToGrid w:val="0"/>
        <w:spacing w:line="6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 xml:space="preserve">8.5 </w:t>
      </w:r>
      <w:r>
        <w:rPr>
          <w:rFonts w:hint="eastAsia" w:ascii="仿宋_GB2312" w:hAnsi="仿宋_GB2312" w:eastAsia="仿宋_GB2312" w:cs="仿宋_GB2312"/>
          <w:kern w:val="0"/>
          <w:sz w:val="28"/>
          <w:szCs w:val="28"/>
        </w:rPr>
        <w:t>需对不合格项目复验时，按6.1选择复检样品。</w:t>
      </w:r>
    </w:p>
    <w:p>
      <w:pPr>
        <w:snapToGrid w:val="0"/>
        <w:spacing w:line="600" w:lineRule="exact"/>
        <w:rPr>
          <w:rFonts w:hint="eastAsia" w:ascii="仿宋_GB2312" w:hAnsi="仿宋_GB2312" w:eastAsia="仿宋_GB2312" w:cs="仿宋_GB2312"/>
          <w:iCs/>
          <w:kern w:val="0"/>
          <w:sz w:val="28"/>
          <w:szCs w:val="28"/>
        </w:rPr>
      </w:pPr>
      <w:r>
        <w:rPr>
          <w:rFonts w:hint="eastAsia" w:ascii="仿宋_GB2312" w:hAnsi="仿宋_GB2312" w:eastAsia="仿宋_GB2312" w:cs="仿宋_GB2312"/>
          <w:b/>
          <w:iCs/>
          <w:kern w:val="0"/>
          <w:sz w:val="28"/>
          <w:szCs w:val="28"/>
        </w:rPr>
        <w:t>8.6</w:t>
      </w:r>
      <w:r>
        <w:rPr>
          <w:rFonts w:hint="eastAsia" w:ascii="仿宋_GB2312" w:hAnsi="仿宋_GB2312" w:eastAsia="仿宋_GB2312" w:cs="仿宋_GB2312"/>
          <w:iCs/>
          <w:kern w:val="0"/>
          <w:sz w:val="28"/>
          <w:szCs w:val="28"/>
        </w:rPr>
        <w:t>深圳市市场监督管理局根据初检、复检结果及企业提交的证明材料，做出复检结论，复检结论为最终结论。</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 附则</w:t>
      </w:r>
    </w:p>
    <w:p>
      <w:pPr>
        <w:snapToGrid w:val="0"/>
        <w:spacing w:line="360" w:lineRule="auto"/>
        <w:ind w:firstLine="537" w:firstLineChars="19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本规范编制单位：深圳市计量质量检测研究院。</w:t>
      </w:r>
    </w:p>
    <w:p>
      <w:pPr>
        <w:ind w:firstLine="560" w:firstLineChars="200"/>
      </w:pPr>
      <w:bookmarkStart w:id="0" w:name="_GoBack"/>
      <w:bookmarkEnd w:id="0"/>
      <w:r>
        <w:rPr>
          <w:rFonts w:hint="eastAsia" w:ascii="仿宋_GB2312" w:hAnsi="仿宋_GB2312" w:eastAsia="仿宋_GB2312" w:cs="仿宋_GB2312"/>
          <w:sz w:val="28"/>
          <w:szCs w:val="28"/>
        </w:rPr>
        <w:t>本规范由</w:t>
      </w:r>
      <w:r>
        <w:rPr>
          <w:rFonts w:hint="eastAsia" w:ascii="仿宋_GB2312" w:hAnsi="仿宋_GB2312" w:eastAsia="仿宋_GB2312" w:cs="仿宋_GB2312"/>
          <w:iCs/>
          <w:sz w:val="28"/>
          <w:szCs w:val="28"/>
        </w:rPr>
        <w:t>深圳市市场监督管理局质量处</w:t>
      </w:r>
      <w:r>
        <w:rPr>
          <w:rFonts w:hint="eastAsia" w:ascii="仿宋_GB2312" w:hAnsi="仿宋_GB2312" w:eastAsia="仿宋_GB2312" w:cs="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9A5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customStyle="1" w:styleId="6">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2020-08-25T07:04:05Z</dcterms:created>
  <dc:creator>changmy</dc:creator>
  <cp:lastModifiedBy>常孟园</cp:lastModifiedBy>
  <dcterms:modified xsi:type="dcterms:W3CDTF">2020-08-25T07:04:29Z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