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电器电子产品有害物质限制使用产品监督抽查实施规范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210</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Cs w:val="21"/>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widowControl/>
        <w:adjustRightInd w:val="0"/>
        <w:snapToGrid w:val="0"/>
        <w:spacing w:line="640" w:lineRule="exact"/>
        <w:ind w:firstLine="560" w:firstLineChars="200"/>
        <w:rPr>
          <w:rFonts w:ascii="仿宋_GB2312" w:eastAsia="仿宋_GB2312"/>
          <w:bCs/>
          <w:kern w:val="0"/>
          <w:sz w:val="32"/>
          <w:szCs w:val="28"/>
        </w:rPr>
      </w:pPr>
      <w:r>
        <w:rPr>
          <w:rFonts w:hint="eastAsia" w:ascii="仿宋_GB2312" w:hAnsi="宋体" w:eastAsia="仿宋_GB2312"/>
          <w:sz w:val="28"/>
          <w:szCs w:val="28"/>
        </w:rPr>
        <w:t>本规范适用于深圳市生产及流通领域电器电子产品有害物质限制使用产品监督抽查。监督抽查产品范围适用于：电话单机、监视器、微型计算机、打印机、传真机及复印机等6类电器电子产品。</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电话单机</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 w:val="24"/>
              </w:rPr>
            </w:pPr>
            <w:r>
              <w:rPr>
                <w:rFonts w:ascii="仿宋_GB2312" w:hAnsi="宋体" w:eastAsia="仿宋_GB2312" w:cs="宋体"/>
                <w:kern w:val="0"/>
                <w:sz w:val="24"/>
              </w:rPr>
              <w:t>固定电话</w:t>
            </w:r>
            <w:r>
              <w:rPr>
                <w:rFonts w:hint="eastAsia" w:ascii="仿宋_GB2312" w:hAnsi="宋体" w:eastAsia="仿宋_GB2312" w:cs="宋体"/>
                <w:kern w:val="0"/>
                <w:sz w:val="24"/>
              </w:rPr>
              <w:t>、</w:t>
            </w:r>
            <w:r>
              <w:rPr>
                <w:rFonts w:ascii="仿宋_GB2312" w:hAnsi="宋体" w:eastAsia="仿宋_GB2312" w:cs="宋体"/>
                <w:kern w:val="0"/>
                <w:sz w:val="24"/>
              </w:rPr>
              <w:t>无绳电话</w:t>
            </w:r>
            <w:r>
              <w:rPr>
                <w:rFonts w:hint="eastAsia" w:ascii="仿宋_GB2312" w:hAnsi="宋体" w:eastAsia="仿宋_GB2312" w:cs="宋体"/>
                <w:kern w:val="0"/>
                <w:sz w:val="24"/>
              </w:rPr>
              <w:t>、</w:t>
            </w:r>
            <w:r>
              <w:rPr>
                <w:rFonts w:ascii="仿宋_GB2312" w:hAnsi="宋体" w:eastAsia="仿宋_GB2312" w:cs="宋体"/>
                <w:kern w:val="0"/>
                <w:sz w:val="24"/>
              </w:rPr>
              <w:t>网络电话机（ IP 电话机）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监视器</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各种材质（</w:t>
            </w:r>
            <w:r>
              <w:rPr>
                <w:rFonts w:ascii="仿宋_GB2312" w:hAnsi="宋体" w:eastAsia="仿宋_GB2312" w:cs="宋体"/>
                <w:kern w:val="0"/>
                <w:sz w:val="24"/>
              </w:rPr>
              <w:t>CRT、 DLP、LCD、 LED、 OLED 等</w:t>
            </w:r>
            <w:r>
              <w:rPr>
                <w:rFonts w:hint="eastAsia" w:ascii="仿宋_GB2312" w:hAnsi="宋体" w:eastAsia="仿宋_GB2312" w:cs="宋体"/>
                <w:kern w:val="0"/>
                <w:sz w:val="24"/>
              </w:rPr>
              <w:t>）的显示</w:t>
            </w:r>
            <w:r>
              <w:rPr>
                <w:rFonts w:ascii="仿宋_GB2312" w:hAnsi="宋体" w:eastAsia="仿宋_GB2312" w:cs="宋体"/>
                <w:kern w:val="0"/>
                <w:sz w:val="24"/>
              </w:rPr>
              <w:t>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微型计算机</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 w:val="24"/>
              </w:rPr>
            </w:pPr>
            <w:r>
              <w:rPr>
                <w:rFonts w:ascii="仿宋_GB2312" w:hAnsi="宋体" w:eastAsia="仿宋_GB2312" w:cs="宋体"/>
                <w:kern w:val="0"/>
                <w:sz w:val="24"/>
              </w:rPr>
              <w:t>台式微型计算机（ 含一体机）、 便携式微型计算机</w:t>
            </w:r>
            <w:r>
              <w:rPr>
                <w:rFonts w:hint="eastAsia" w:ascii="仿宋_GB2312" w:hAnsi="宋体" w:eastAsia="仿宋_GB2312" w:cs="宋体"/>
                <w:kern w:val="0"/>
                <w:sz w:val="24"/>
              </w:rPr>
              <w:t>（手提电脑）</w:t>
            </w:r>
            <w:r>
              <w:rPr>
                <w:rFonts w:ascii="仿宋_GB2312" w:hAnsi="宋体" w:eastAsia="仿宋_GB2312" w:cs="宋体"/>
                <w:kern w:val="0"/>
                <w:sz w:val="24"/>
              </w:rPr>
              <w:t xml:space="preserve">、平板电脑和掌上电脑等。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打印机</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 w:val="24"/>
              </w:rPr>
            </w:pPr>
            <w:r>
              <w:rPr>
                <w:rFonts w:ascii="仿宋_GB2312" w:hAnsi="宋体" w:eastAsia="仿宋_GB2312" w:cs="宋体"/>
                <w:kern w:val="0"/>
                <w:sz w:val="24"/>
              </w:rPr>
              <w:t>激光打印机、喷墨打印机、针式打印机、热打印机</w:t>
            </w:r>
            <w:r>
              <w:rPr>
                <w:rFonts w:hint="eastAsia" w:ascii="仿宋_GB2312" w:hAnsi="宋体" w:eastAsia="仿宋_GB2312" w:cs="宋体"/>
                <w:kern w:val="0"/>
                <w:sz w:val="24"/>
              </w:rPr>
              <w:t>等</w:t>
            </w:r>
            <w:r>
              <w:rPr>
                <w:rFonts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传真机</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 w:val="24"/>
              </w:rPr>
            </w:pPr>
            <w:r>
              <w:rPr>
                <w:rFonts w:ascii="仿宋_GB2312" w:hAnsi="宋体" w:eastAsia="仿宋_GB2312" w:cs="宋体"/>
                <w:kern w:val="0"/>
                <w:sz w:val="24"/>
              </w:rPr>
              <w:t>激光传真机、喷墨传真机</w:t>
            </w:r>
            <w:r>
              <w:rPr>
                <w:rFonts w:hint="eastAsia" w:ascii="仿宋_GB2312" w:hAnsi="宋体" w:eastAsia="仿宋_GB2312" w:cs="宋体"/>
                <w:kern w:val="0"/>
                <w:sz w:val="24"/>
              </w:rPr>
              <w:t>、</w:t>
            </w:r>
            <w:r>
              <w:rPr>
                <w:rFonts w:ascii="仿宋_GB2312" w:hAnsi="宋体" w:eastAsia="仿宋_GB2312" w:cs="宋体"/>
                <w:kern w:val="0"/>
                <w:sz w:val="24"/>
              </w:rPr>
              <w:t>热成像传真机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复印机</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 w:val="24"/>
              </w:rPr>
            </w:pPr>
            <w:r>
              <w:rPr>
                <w:rFonts w:ascii="仿宋_GB2312" w:hAnsi="宋体" w:eastAsia="仿宋_GB2312" w:cs="宋体"/>
                <w:kern w:val="0"/>
                <w:sz w:val="24"/>
              </w:rPr>
              <w:t>静电复印机、喷墨复印机</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4"/>
        <w:tblW w:w="8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89"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电话单机</w:t>
            </w:r>
          </w:p>
        </w:tc>
        <w:tc>
          <w:tcPr>
            <w:tcW w:w="6389" w:type="dxa"/>
            <w:noWrap w:val="0"/>
            <w:vAlign w:val="center"/>
          </w:tcPr>
          <w:p>
            <w:pPr>
              <w:jc w:val="left"/>
              <w:rPr>
                <w:rFonts w:ascii="仿宋_GB2312" w:eastAsia="仿宋_GB2312"/>
              </w:rPr>
            </w:pPr>
            <w:r>
              <w:rPr>
                <w:rStyle w:val="6"/>
                <w:rFonts w:hint="default"/>
              </w:rPr>
              <w:t>电话单机是将声音转换成可以传送到另一台设备的信号， 在接收信号后又可将信号转换成声音的用户终端通信设备。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监视器</w:t>
            </w:r>
          </w:p>
        </w:tc>
        <w:tc>
          <w:tcPr>
            <w:tcW w:w="6389" w:type="dxa"/>
            <w:noWrap w:val="0"/>
            <w:vAlign w:val="center"/>
          </w:tcPr>
          <w:p>
            <w:pPr>
              <w:jc w:val="left"/>
              <w:rPr>
                <w:rFonts w:ascii="仿宋_GB2312" w:eastAsia="仿宋_GB2312"/>
              </w:rPr>
            </w:pPr>
            <w:r>
              <w:rPr>
                <w:rStyle w:val="6"/>
                <w:rFonts w:hint="default"/>
              </w:rPr>
              <w:t>将视频信号转换为光图像信号，用图示的方法显示已处理数据的图像输出设备。包括阴极射线管（黑白、彩色）监视器、液晶监视器等由显示器件为核心组成的图像输出设备（不含高频头）。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微型计算机</w:t>
            </w:r>
          </w:p>
        </w:tc>
        <w:tc>
          <w:tcPr>
            <w:tcW w:w="6389" w:type="dxa"/>
            <w:noWrap w:val="0"/>
            <w:vAlign w:val="center"/>
          </w:tcPr>
          <w:p>
            <w:pPr>
              <w:jc w:val="left"/>
              <w:rPr>
                <w:rFonts w:ascii="仿宋_GB2312" w:eastAsia="仿宋_GB2312"/>
              </w:rPr>
            </w:pPr>
            <w:r>
              <w:rPr>
                <w:rStyle w:val="6"/>
                <w:rFonts w:hint="default"/>
              </w:rPr>
              <w:t xml:space="preserve">适合单个用户的， 在微型计算机硬件系统的基础上配置必要的外部设备和软件构成的实体。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打印机</w:t>
            </w:r>
          </w:p>
        </w:tc>
        <w:tc>
          <w:tcPr>
            <w:tcW w:w="6389" w:type="dxa"/>
            <w:noWrap w:val="0"/>
            <w:vAlign w:val="center"/>
          </w:tcPr>
          <w:p>
            <w:pPr>
              <w:jc w:val="left"/>
              <w:rPr>
                <w:rStyle w:val="6"/>
                <w:rFonts w:hint="default"/>
              </w:rPr>
            </w:pPr>
            <w:r>
              <w:rPr>
                <w:rStyle w:val="6"/>
                <w:rFonts w:hint="default"/>
              </w:rPr>
              <w:t>从自动数据处理设备、网络、平台式扫描仪等来源接收数据， 通过诸如静电、喷墨、针打或热成像等方法，在印刷（打印）介质上打印正文、字符或图像的设备。还包括以打印功能为主，兼有其他功能的设备。（印刷幅面≤A3，且印刷速度≤60张/分钟）。</w:t>
            </w:r>
          </w:p>
          <w:p>
            <w:pPr>
              <w:jc w:val="left"/>
              <w:rPr>
                <w:rFonts w:ascii="仿宋_GB2312" w:eastAsia="仿宋_GB2312"/>
              </w:rPr>
            </w:pPr>
            <w:r>
              <w:rPr>
                <w:rStyle w:val="6"/>
                <w:rFonts w:hint="default"/>
              </w:rPr>
              <w:t>本细则中的打印机不包括：1）打印头针数≥ 48的针式打印机；2）设计上仅用于打印介质是布、 塑料、 金属等纸以外的设备；3） 印刷幅宽&lt;110 毫米的针式打印机、热打印机和喷墨打印机。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传真机</w:t>
            </w:r>
          </w:p>
        </w:tc>
        <w:tc>
          <w:tcPr>
            <w:tcW w:w="6389" w:type="dxa"/>
            <w:noWrap w:val="0"/>
            <w:vAlign w:val="center"/>
          </w:tcPr>
          <w:p>
            <w:pPr>
              <w:jc w:val="left"/>
              <w:rPr>
                <w:rFonts w:ascii="仿宋_GB2312" w:eastAsia="仿宋_GB2312"/>
              </w:rPr>
            </w:pPr>
            <w:r>
              <w:rPr>
                <w:rStyle w:val="6"/>
                <w:rFonts w:hint="default"/>
              </w:rPr>
              <w:t>利用扫描和光电变换技术，把文字、图表、相片等静止图像变换成电信号发送出去，接收时以记录形式获取复制稿的通信终端设备，包括以传真功能为主，兼有其他功能的设备。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复印机</w:t>
            </w:r>
          </w:p>
        </w:tc>
        <w:tc>
          <w:tcPr>
            <w:tcW w:w="6389" w:type="dxa"/>
            <w:noWrap w:val="0"/>
            <w:vAlign w:val="center"/>
          </w:tcPr>
          <w:p>
            <w:pPr>
              <w:rPr>
                <w:rFonts w:ascii="宋体" w:hAnsi="宋体" w:cs="宋体"/>
                <w:sz w:val="24"/>
              </w:rPr>
            </w:pPr>
            <w:r>
              <w:rPr>
                <w:rStyle w:val="6"/>
                <w:rFonts w:hint="default"/>
              </w:rPr>
              <w:t>从书写、绘制或印刷的原稿得到等倍、放大或缩小的复印品的设备。还包括以复印功能为主，兼有其他功能的设备。（印刷幅面≤ A3，且印刷速度≤60 张/分钟）。</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536"/>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536"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360"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rFonts w:ascii="仿宋_GB2312" w:eastAsia="仿宋_GB2312"/>
              </w:rPr>
            </w:pPr>
            <w:r>
              <w:rPr>
                <w:rFonts w:ascii="仿宋_GB2312" w:eastAsia="仿宋_GB2312"/>
              </w:rPr>
              <w:t>SJ/T</w:t>
            </w:r>
            <w:r>
              <w:rPr>
                <w:rFonts w:hint="eastAsia" w:ascii="仿宋_GB2312" w:eastAsia="仿宋_GB2312"/>
              </w:rPr>
              <w:t xml:space="preserve"> </w:t>
            </w:r>
            <w:r>
              <w:rPr>
                <w:rFonts w:ascii="仿宋_GB2312" w:eastAsia="仿宋_GB2312"/>
              </w:rPr>
              <w:t>11364-2014</w:t>
            </w:r>
          </w:p>
        </w:tc>
        <w:tc>
          <w:tcPr>
            <w:tcW w:w="4536" w:type="dxa"/>
            <w:noWrap w:val="0"/>
            <w:vAlign w:val="center"/>
          </w:tcPr>
          <w:p>
            <w:pPr>
              <w:pStyle w:val="3"/>
              <w:jc w:val="center"/>
            </w:pPr>
            <w:r>
              <w:rPr>
                <w:rFonts w:hint="eastAsia" w:ascii="仿宋_GB2312" w:eastAsia="仿宋_GB2312"/>
              </w:rPr>
              <w:t>电子电气产品有害物质限制使用标识要求</w:t>
            </w:r>
          </w:p>
        </w:tc>
        <w:tc>
          <w:tcPr>
            <w:tcW w:w="2360"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rFonts w:ascii="仿宋_GB2312" w:eastAsia="仿宋_GB2312"/>
              </w:rPr>
            </w:pPr>
            <w:r>
              <w:rPr>
                <w:rFonts w:ascii="仿宋_GB2312" w:eastAsia="仿宋_GB2312"/>
              </w:rPr>
              <w:t>GB/T</w:t>
            </w:r>
            <w:r>
              <w:rPr>
                <w:rFonts w:hint="eastAsia" w:ascii="仿宋_GB2312" w:eastAsia="仿宋_GB2312"/>
              </w:rPr>
              <w:t xml:space="preserve"> </w:t>
            </w:r>
            <w:r>
              <w:rPr>
                <w:rFonts w:ascii="仿宋_GB2312" w:eastAsia="仿宋_GB2312"/>
              </w:rPr>
              <w:t>26572-2011</w:t>
            </w:r>
          </w:p>
        </w:tc>
        <w:tc>
          <w:tcPr>
            <w:tcW w:w="4536" w:type="dxa"/>
            <w:noWrap w:val="0"/>
            <w:vAlign w:val="center"/>
          </w:tcPr>
          <w:p>
            <w:pPr>
              <w:pStyle w:val="3"/>
              <w:jc w:val="center"/>
              <w:rPr>
                <w:rFonts w:ascii="仿宋_GB2312" w:eastAsia="仿宋_GB2312"/>
              </w:rPr>
            </w:pPr>
            <w:r>
              <w:rPr>
                <w:rFonts w:hint="eastAsia" w:ascii="仿宋_GB2312" w:eastAsia="仿宋_GB2312"/>
              </w:rPr>
              <w:t>电子电气产品中限用物质的限量要求</w:t>
            </w:r>
          </w:p>
        </w:tc>
        <w:tc>
          <w:tcPr>
            <w:tcW w:w="2360"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rFonts w:ascii="仿宋_GB2312" w:eastAsia="仿宋_GB2312"/>
              </w:rPr>
            </w:pPr>
            <w:r>
              <w:rPr>
                <w:rFonts w:ascii="仿宋_GB2312" w:eastAsia="仿宋_GB2312"/>
              </w:rPr>
              <w:t>GB/T</w:t>
            </w:r>
            <w:r>
              <w:rPr>
                <w:rFonts w:hint="eastAsia" w:ascii="仿宋_GB2312" w:eastAsia="仿宋_GB2312"/>
              </w:rPr>
              <w:t xml:space="preserve"> </w:t>
            </w:r>
            <w:r>
              <w:rPr>
                <w:rFonts w:ascii="仿宋_GB2312" w:eastAsia="仿宋_GB2312"/>
              </w:rPr>
              <w:t>26125-2011</w:t>
            </w:r>
          </w:p>
        </w:tc>
        <w:tc>
          <w:tcPr>
            <w:tcW w:w="4536" w:type="dxa"/>
            <w:noWrap w:val="0"/>
            <w:vAlign w:val="center"/>
          </w:tcPr>
          <w:p>
            <w:pPr>
              <w:pStyle w:val="3"/>
              <w:jc w:val="center"/>
              <w:rPr>
                <w:rFonts w:ascii="仿宋_GB2312" w:eastAsia="仿宋_GB2312"/>
              </w:rPr>
            </w:pPr>
            <w:r>
              <w:rPr>
                <w:rFonts w:hint="eastAsia" w:ascii="仿宋_GB2312" w:eastAsia="仿宋_GB2312"/>
              </w:rPr>
              <w:t>电子电气产品六种限用物质（铅、汞、镉、六价铬、多溴联苯和多溴二苯醚）的测定</w:t>
            </w:r>
          </w:p>
        </w:tc>
        <w:tc>
          <w:tcPr>
            <w:tcW w:w="2360"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在2019年11月1日以后生产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b/>
          <w:bCs/>
          <w:sz w:val="28"/>
          <w:szCs w:val="28"/>
        </w:rPr>
        <w:t xml:space="preserve">    流通领域：在流通领域抽样可在实体店以及网络交易平台两种途径获得样品。</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 xml:space="preserve">    （1）实体店：在市场上随机抽取经企业检验合格或以任何方式表明已检验合格的、在2019年11月1日以后生产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在生产和流通领域抽样时，抽样基数应不少于抽取样品量。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生产领域：随机抽取同一规格型号的2个样品，1个作为检验样品带回承检单位，1个作为备用样品封存于承检单位；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流通领域（实体店）：随机抽取同一规格型号的2个样品，1个作为检验样品带回承检单位，1个作为备用样品封存于承检单位；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流通领域（网络交易平台）：随机抽取同一规格型号的2个样品，1个作为检验样品带回承检单位，1个作为备用样品封存于承检单位。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tbl>
      <w:tblPr>
        <w:tblStyle w:val="4"/>
        <w:tblW w:w="9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916"/>
        <w:gridCol w:w="1842"/>
        <w:gridCol w:w="2127"/>
        <w:gridCol w:w="1272"/>
        <w:gridCol w:w="220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88"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2758" w:type="dxa"/>
            <w:gridSpan w:val="2"/>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127"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检测依据</w:t>
            </w:r>
          </w:p>
        </w:tc>
        <w:tc>
          <w:tcPr>
            <w:tcW w:w="1272"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项目性质</w:t>
            </w:r>
          </w:p>
        </w:tc>
        <w:tc>
          <w:tcPr>
            <w:tcW w:w="2201"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w:t>
            </w:r>
            <w:r>
              <w:rPr>
                <w:rFonts w:hint="eastAsia" w:ascii="黑体" w:hAnsi="黑体" w:eastAsia="黑体"/>
                <w:sz w:val="24"/>
              </w:rPr>
              <w:t>方法</w:t>
            </w:r>
          </w:p>
        </w:tc>
        <w:tc>
          <w:tcPr>
            <w:tcW w:w="849"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8" w:type="dxa"/>
            <w:vMerge w:val="restart"/>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916" w:type="dxa"/>
            <w:vMerge w:val="restart"/>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电子电气产品有害物质限制使用标识</w:t>
            </w:r>
            <w:r>
              <w:rPr>
                <w:rFonts w:hint="eastAsia" w:ascii="仿宋_GB2312" w:hAnsi="仿宋" w:eastAsia="仿宋_GB2312" w:cs="Times New Roman"/>
                <w:kern w:val="2"/>
                <w:vertAlign w:val="superscript"/>
              </w:rPr>
              <w:t>1</w:t>
            </w:r>
          </w:p>
        </w:tc>
        <w:tc>
          <w:tcPr>
            <w:tcW w:w="1842" w:type="dxa"/>
            <w:noWrap w:val="0"/>
            <w:vAlign w:val="center"/>
          </w:tcPr>
          <w:p>
            <w:pPr>
              <w:widowControl/>
              <w:rPr>
                <w:rFonts w:ascii="仿宋_GB2312" w:hAnsi="仿宋" w:eastAsia="仿宋_GB2312"/>
                <w:sz w:val="24"/>
              </w:rPr>
            </w:pPr>
            <w:r>
              <w:rPr>
                <w:rFonts w:hint="eastAsia" w:ascii="仿宋_GB2312" w:hAnsi="仿宋" w:eastAsia="仿宋_GB2312"/>
                <w:sz w:val="24"/>
              </w:rPr>
              <w:t>电子电气产品有害物质限制使用标志</w:t>
            </w:r>
          </w:p>
        </w:tc>
        <w:tc>
          <w:tcPr>
            <w:tcW w:w="2127" w:type="dxa"/>
            <w:vMerge w:val="restart"/>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SJ/T 11364-2014</w:t>
            </w:r>
          </w:p>
        </w:tc>
        <w:tc>
          <w:tcPr>
            <w:tcW w:w="1272" w:type="dxa"/>
            <w:vMerge w:val="restart"/>
            <w:noWrap w:val="0"/>
            <w:vAlign w:val="center"/>
          </w:tcPr>
          <w:p>
            <w:pPr>
              <w:wordWrap w:val="0"/>
              <w:spacing w:before="100" w:beforeAutospacing="1" w:after="100" w:afterAutospacing="1"/>
              <w:jc w:val="center"/>
              <w:rPr>
                <w:rFonts w:hAnsi="仿宋"/>
              </w:rPr>
            </w:pPr>
            <w:r>
              <w:rPr>
                <w:rFonts w:hint="eastAsia" w:ascii="仿宋_GB2312" w:hAnsi="仿宋" w:eastAsia="仿宋_GB2312"/>
                <w:sz w:val="24"/>
              </w:rPr>
              <w:t>强制性</w:t>
            </w:r>
          </w:p>
        </w:tc>
        <w:tc>
          <w:tcPr>
            <w:tcW w:w="2201" w:type="dxa"/>
            <w:vMerge w:val="restart"/>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SJ/T 11364-2014</w:t>
            </w:r>
          </w:p>
        </w:tc>
        <w:tc>
          <w:tcPr>
            <w:tcW w:w="849" w:type="dxa"/>
            <w:vMerge w:val="restart"/>
            <w:noWrap w:val="0"/>
            <w:vAlign w:val="center"/>
          </w:tcPr>
          <w:p>
            <w:pPr>
              <w:spacing w:before="100" w:beforeAutospacing="1" w:after="100" w:afterAutospacing="1"/>
              <w:jc w:val="center"/>
              <w:rPr>
                <w:rFonts w:ascii="仿宋_GB2312" w:hAnsi="仿宋" w:eastAsia="仿宋_GB2312"/>
                <w:sz w:val="24"/>
              </w:rPr>
            </w:pPr>
            <w:r>
              <w:rPr>
                <w:rFonts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8" w:type="dxa"/>
            <w:vMerge w:val="continue"/>
            <w:noWrap w:val="0"/>
            <w:vAlign w:val="center"/>
          </w:tcPr>
          <w:p>
            <w:pPr>
              <w:pStyle w:val="2"/>
              <w:snapToGrid w:val="0"/>
              <w:spacing w:line="500" w:lineRule="exact"/>
              <w:jc w:val="center"/>
              <w:rPr>
                <w:rFonts w:ascii="仿宋_GB2312" w:hAnsi="宋体" w:eastAsia="仿宋_GB2312"/>
                <w:sz w:val="24"/>
                <w:szCs w:val="24"/>
              </w:rPr>
            </w:pPr>
          </w:p>
        </w:tc>
        <w:tc>
          <w:tcPr>
            <w:tcW w:w="916" w:type="dxa"/>
            <w:vMerge w:val="continue"/>
            <w:noWrap w:val="0"/>
            <w:vAlign w:val="center"/>
          </w:tcPr>
          <w:p>
            <w:pPr>
              <w:pStyle w:val="3"/>
              <w:jc w:val="center"/>
              <w:rPr>
                <w:rFonts w:ascii="仿宋_GB2312" w:hAnsi="仿宋" w:eastAsia="仿宋_GB2312" w:cs="Times New Roman"/>
                <w:kern w:val="2"/>
              </w:rPr>
            </w:pPr>
          </w:p>
        </w:tc>
        <w:tc>
          <w:tcPr>
            <w:tcW w:w="1842" w:type="dxa"/>
            <w:noWrap w:val="0"/>
            <w:vAlign w:val="center"/>
          </w:tcPr>
          <w:p>
            <w:pPr>
              <w:widowControl/>
              <w:rPr>
                <w:rFonts w:ascii="仿宋_GB2312" w:hAnsi="仿宋" w:eastAsia="仿宋_GB2312"/>
                <w:sz w:val="24"/>
              </w:rPr>
            </w:pPr>
            <w:r>
              <w:rPr>
                <w:rFonts w:hint="eastAsia" w:ascii="仿宋_GB2312" w:hAnsi="仿宋" w:eastAsia="仿宋_GB2312"/>
                <w:sz w:val="24"/>
              </w:rPr>
              <w:t>有害物质标识</w:t>
            </w:r>
          </w:p>
        </w:tc>
        <w:tc>
          <w:tcPr>
            <w:tcW w:w="2127" w:type="dxa"/>
            <w:vMerge w:val="continue"/>
            <w:noWrap w:val="0"/>
            <w:vAlign w:val="center"/>
          </w:tcPr>
          <w:p>
            <w:pPr>
              <w:pStyle w:val="3"/>
              <w:jc w:val="center"/>
              <w:rPr>
                <w:rFonts w:ascii="仿宋_GB2312" w:hAnsi="仿宋" w:eastAsia="仿宋_GB2312" w:cs="Times New Roman"/>
                <w:kern w:val="2"/>
              </w:rPr>
            </w:pPr>
          </w:p>
        </w:tc>
        <w:tc>
          <w:tcPr>
            <w:tcW w:w="1272" w:type="dxa"/>
            <w:vMerge w:val="continue"/>
            <w:noWrap w:val="0"/>
            <w:vAlign w:val="center"/>
          </w:tcPr>
          <w:p>
            <w:pPr>
              <w:wordWrap w:val="0"/>
              <w:spacing w:before="100" w:beforeAutospacing="1" w:after="100" w:afterAutospacing="1"/>
              <w:jc w:val="center"/>
              <w:rPr>
                <w:rFonts w:hAnsi="仿宋"/>
              </w:rPr>
            </w:pPr>
          </w:p>
        </w:tc>
        <w:tc>
          <w:tcPr>
            <w:tcW w:w="2201" w:type="dxa"/>
            <w:vMerge w:val="continue"/>
            <w:noWrap w:val="0"/>
            <w:vAlign w:val="center"/>
          </w:tcPr>
          <w:p>
            <w:pPr>
              <w:pStyle w:val="3"/>
              <w:jc w:val="center"/>
              <w:rPr>
                <w:rFonts w:ascii="仿宋_GB2312" w:hAnsi="仿宋" w:eastAsia="仿宋_GB2312" w:cs="Times New Roman"/>
                <w:kern w:val="2"/>
              </w:rPr>
            </w:pPr>
          </w:p>
        </w:tc>
        <w:tc>
          <w:tcPr>
            <w:tcW w:w="849" w:type="dxa"/>
            <w:vMerge w:val="continue"/>
            <w:noWrap w:val="0"/>
            <w:vAlign w:val="center"/>
          </w:tcPr>
          <w:p>
            <w:pPr>
              <w:spacing w:before="100" w:beforeAutospacing="1" w:after="100" w:afterAutospacing="1"/>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8" w:type="dxa"/>
            <w:vMerge w:val="continue"/>
            <w:noWrap w:val="0"/>
            <w:vAlign w:val="center"/>
          </w:tcPr>
          <w:p>
            <w:pPr>
              <w:pStyle w:val="2"/>
              <w:snapToGrid w:val="0"/>
              <w:spacing w:line="500" w:lineRule="exact"/>
              <w:jc w:val="center"/>
              <w:rPr>
                <w:rFonts w:ascii="仿宋_GB2312" w:hAnsi="宋体" w:eastAsia="仿宋_GB2312"/>
                <w:sz w:val="24"/>
                <w:szCs w:val="24"/>
              </w:rPr>
            </w:pPr>
          </w:p>
        </w:tc>
        <w:tc>
          <w:tcPr>
            <w:tcW w:w="916" w:type="dxa"/>
            <w:vMerge w:val="continue"/>
            <w:noWrap w:val="0"/>
            <w:vAlign w:val="center"/>
          </w:tcPr>
          <w:p>
            <w:pPr>
              <w:pStyle w:val="3"/>
              <w:jc w:val="center"/>
              <w:rPr>
                <w:rFonts w:ascii="仿宋_GB2312" w:hAnsi="仿宋" w:eastAsia="仿宋_GB2312" w:cs="Times New Roman"/>
                <w:kern w:val="2"/>
              </w:rPr>
            </w:pPr>
          </w:p>
        </w:tc>
        <w:tc>
          <w:tcPr>
            <w:tcW w:w="1842" w:type="dxa"/>
            <w:noWrap w:val="0"/>
            <w:vAlign w:val="center"/>
          </w:tcPr>
          <w:p>
            <w:pPr>
              <w:widowControl/>
              <w:rPr>
                <w:rFonts w:ascii="仿宋_GB2312" w:hAnsi="仿宋" w:eastAsia="仿宋_GB2312"/>
                <w:sz w:val="24"/>
              </w:rPr>
            </w:pPr>
            <w:r>
              <w:rPr>
                <w:rFonts w:hint="eastAsia" w:ascii="仿宋_GB2312" w:hAnsi="仿宋" w:eastAsia="仿宋_GB2312"/>
                <w:sz w:val="24"/>
              </w:rPr>
              <w:t>环保使用期限标识</w:t>
            </w:r>
          </w:p>
        </w:tc>
        <w:tc>
          <w:tcPr>
            <w:tcW w:w="2127" w:type="dxa"/>
            <w:vMerge w:val="continue"/>
            <w:noWrap w:val="0"/>
            <w:vAlign w:val="center"/>
          </w:tcPr>
          <w:p>
            <w:pPr>
              <w:pStyle w:val="3"/>
              <w:jc w:val="center"/>
              <w:rPr>
                <w:rFonts w:ascii="仿宋_GB2312" w:hAnsi="仿宋" w:eastAsia="仿宋_GB2312" w:cs="Times New Roman"/>
                <w:kern w:val="2"/>
              </w:rPr>
            </w:pPr>
          </w:p>
        </w:tc>
        <w:tc>
          <w:tcPr>
            <w:tcW w:w="1272" w:type="dxa"/>
            <w:vMerge w:val="continue"/>
            <w:noWrap w:val="0"/>
            <w:vAlign w:val="center"/>
          </w:tcPr>
          <w:p>
            <w:pPr>
              <w:wordWrap w:val="0"/>
              <w:spacing w:before="100" w:beforeAutospacing="1" w:after="100" w:afterAutospacing="1"/>
              <w:jc w:val="center"/>
              <w:rPr>
                <w:rFonts w:hAnsi="仿宋"/>
              </w:rPr>
            </w:pPr>
          </w:p>
        </w:tc>
        <w:tc>
          <w:tcPr>
            <w:tcW w:w="2201" w:type="dxa"/>
            <w:vMerge w:val="continue"/>
            <w:noWrap w:val="0"/>
            <w:vAlign w:val="center"/>
          </w:tcPr>
          <w:p>
            <w:pPr>
              <w:pStyle w:val="3"/>
              <w:jc w:val="center"/>
              <w:rPr>
                <w:rFonts w:ascii="仿宋_GB2312" w:hAnsi="仿宋" w:eastAsia="仿宋_GB2312" w:cs="Times New Roman"/>
                <w:kern w:val="2"/>
              </w:rPr>
            </w:pPr>
          </w:p>
        </w:tc>
        <w:tc>
          <w:tcPr>
            <w:tcW w:w="849" w:type="dxa"/>
            <w:vMerge w:val="continue"/>
            <w:noWrap w:val="0"/>
            <w:vAlign w:val="center"/>
          </w:tcPr>
          <w:p>
            <w:pPr>
              <w:spacing w:before="100" w:beforeAutospacing="1" w:after="100" w:afterAutospacing="1"/>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688" w:type="dxa"/>
            <w:noWrap w:val="0"/>
            <w:vAlign w:val="center"/>
          </w:tcPr>
          <w:p>
            <w:pPr>
              <w:pStyle w:val="3"/>
              <w:jc w:val="center"/>
              <w:rPr>
                <w:sz w:val="22"/>
                <w:szCs w:val="22"/>
              </w:rPr>
            </w:pPr>
            <w:r>
              <w:rPr>
                <w:rFonts w:hint="eastAsia"/>
                <w:sz w:val="22"/>
                <w:szCs w:val="22"/>
              </w:rPr>
              <w:t>2</w:t>
            </w:r>
          </w:p>
        </w:tc>
        <w:tc>
          <w:tcPr>
            <w:tcW w:w="2758" w:type="dxa"/>
            <w:gridSpan w:val="2"/>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汞、铅、镉、六价铬、多溴联苯和多溴二苯醚</w:t>
            </w:r>
            <w:r>
              <w:rPr>
                <w:rFonts w:hint="eastAsia" w:ascii="仿宋_GB2312" w:hAnsi="仿宋" w:eastAsia="仿宋_GB2312" w:cs="Times New Roman"/>
                <w:kern w:val="2"/>
                <w:vertAlign w:val="superscript"/>
              </w:rPr>
              <w:t>2</w:t>
            </w:r>
          </w:p>
        </w:tc>
        <w:tc>
          <w:tcPr>
            <w:tcW w:w="2127" w:type="dxa"/>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GB/T 26572-2011</w:t>
            </w:r>
          </w:p>
        </w:tc>
        <w:tc>
          <w:tcPr>
            <w:tcW w:w="1272" w:type="dxa"/>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强制性</w:t>
            </w:r>
          </w:p>
        </w:tc>
        <w:tc>
          <w:tcPr>
            <w:tcW w:w="2201" w:type="dxa"/>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GB/T 26125-2011</w:t>
            </w:r>
          </w:p>
        </w:tc>
        <w:tc>
          <w:tcPr>
            <w:tcW w:w="849" w:type="dxa"/>
            <w:noWrap w:val="0"/>
            <w:vAlign w:val="center"/>
          </w:tcPr>
          <w:p>
            <w:pPr>
              <w:pStyle w:val="3"/>
              <w:jc w:val="center"/>
              <w:rPr>
                <w:rFonts w:ascii="仿宋_GB2312" w:hAnsi="仿宋" w:eastAsia="仿宋_GB2312" w:cs="Times New Roman"/>
                <w:kern w:val="2"/>
              </w:rPr>
            </w:pPr>
            <w:r>
              <w:rPr>
                <w:rFonts w:hint="eastAsia" w:ascii="仿宋_GB2312" w:hAnsi="仿宋" w:eastAsia="仿宋_GB2312" w:cs="Times New Roman"/>
                <w:kern w:val="2"/>
              </w:rPr>
              <w:t>原样/备样</w:t>
            </w:r>
            <w:r>
              <w:rPr>
                <w:rFonts w:hint="eastAsia" w:ascii="仿宋_GB2312" w:hAnsi="仿宋" w:eastAsia="仿宋_GB2312" w:cs="Times New Roman"/>
                <w:kern w:val="2"/>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95" w:type="dxa"/>
            <w:gridSpan w:val="7"/>
            <w:noWrap w:val="0"/>
            <w:vAlign w:val="center"/>
          </w:tcPr>
          <w:p>
            <w:pPr>
              <w:jc w:val="left"/>
              <w:rPr>
                <w:rFonts w:ascii="仿宋_GB2312" w:hAnsi="宋体" w:eastAsia="仿宋_GB2312"/>
                <w:sz w:val="24"/>
              </w:rPr>
            </w:pPr>
            <w:r>
              <w:rPr>
                <w:rFonts w:hint="eastAsia" w:ascii="仿宋_GB2312" w:hAnsi="宋体" w:eastAsia="仿宋_GB2312"/>
                <w:sz w:val="24"/>
              </w:rPr>
              <w:t>注：</w:t>
            </w:r>
          </w:p>
          <w:p>
            <w:pPr>
              <w:jc w:val="left"/>
              <w:rPr>
                <w:rFonts w:ascii="仿宋_GB2312" w:hAnsi="宋体" w:eastAsia="仿宋_GB2312"/>
                <w:sz w:val="24"/>
              </w:rPr>
            </w:pPr>
            <w:r>
              <w:rPr>
                <w:rFonts w:hint="eastAsia" w:ascii="仿宋_GB2312" w:hAnsi="宋体" w:eastAsia="仿宋_GB2312"/>
                <w:sz w:val="24"/>
              </w:rPr>
              <w:t>1.序号1项目已被《电器电子产品有害物质限制使用管理办法》里所引用，属强制性要求。</w:t>
            </w:r>
          </w:p>
          <w:p>
            <w:pPr>
              <w:jc w:val="left"/>
              <w:rPr>
                <w:rFonts w:ascii="仿宋_GB2312" w:hAnsi="宋体" w:eastAsia="仿宋_GB2312"/>
                <w:sz w:val="24"/>
              </w:rPr>
            </w:pPr>
            <w:r>
              <w:rPr>
                <w:rFonts w:hint="eastAsia" w:ascii="仿宋_GB2312" w:hAnsi="宋体" w:eastAsia="仿宋_GB2312"/>
                <w:sz w:val="24"/>
              </w:rPr>
              <w:t>2.本次抽查的产品已被纳入《电器电子产品有害物质限制使用达标管理目录（第一批）》，序号2项目属于强制性要求。</w:t>
            </w:r>
          </w:p>
          <w:p>
            <w:pPr>
              <w:jc w:val="left"/>
              <w:rPr>
                <w:rFonts w:ascii="仿宋_GB2312" w:hAnsi="宋体" w:eastAsia="仿宋_GB2312"/>
                <w:sz w:val="24"/>
              </w:rPr>
            </w:pPr>
            <w:r>
              <w:rPr>
                <w:rFonts w:hint="eastAsia" w:ascii="仿宋_GB2312" w:hAnsi="宋体" w:eastAsia="仿宋_GB2312"/>
                <w:sz w:val="24"/>
              </w:rPr>
              <w:t>3.序号2项目原则上使用原样复检，当原样样品量不足时，可使用备样复检。</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hAnsi="Calibri" w:eastAsia="仿宋_GB2312" w:cs="Sim Sun"/>
          <w:b/>
          <w:kern w:val="0"/>
          <w:sz w:val="28"/>
          <w:szCs w:val="28"/>
        </w:rPr>
      </w:pP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540" w:lineRule="exact"/>
        <w:ind w:firstLine="537" w:firstLineChars="192"/>
        <w:rPr>
          <w:rFonts w:hint="eastAsia"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17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6">
    <w:name w:val="fontstyle01"/>
    <w:basedOn w:val="5"/>
    <w:uiPriority w:val="0"/>
    <w:rPr>
      <w:rFonts w:hint="eastAsia" w:ascii="仿宋_GB2312" w:eastAsia="仿宋_GB2312"/>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2020-10-09T08:18:36Z</dcterms:created>
  <dc:creator>changmy</dc:creator>
  <cp:lastModifiedBy>常孟园</cp:lastModifiedBy>
  <dcterms:modified xsi:type="dcterms:W3CDTF">2020-10-09T08:18:55Z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