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44"/>
          <w:szCs w:val="44"/>
        </w:rPr>
        <w:t>公示企业信息</w:t>
      </w:r>
    </w:p>
    <w:bookmarkEnd w:id="0"/>
    <w:tbl>
      <w:tblPr>
        <w:tblStyle w:val="3"/>
        <w:tblW w:w="1003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2172"/>
        <w:gridCol w:w="2244"/>
        <w:gridCol w:w="1320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法定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标注内容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深圳市东吴全友科技有限公司 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粤深食药监械经营备202014601号</w:t>
            </w:r>
          </w:p>
        </w:tc>
        <w:tc>
          <w:tcPr>
            <w:tcW w:w="2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深圳市宝安区松岗街道罗田象山大道224-1号二楼B2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杨佺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与备案信息不符且无法取得联系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0746"/>
    <w:rsid w:val="474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2020-12-04T07:16:00Z</dcterms:created>
  <dc:creator>蒋维</dc:creator>
  <cp:lastModifiedBy>蒋维</cp:lastModifiedBy>
  <dcterms:modified xsi:type="dcterms:W3CDTF">2020-12-04T07:16:38Z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