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adjustRightInd w:val="0"/>
        <w:snapToGrid w:val="0"/>
        <w:spacing w:line="64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2020年深圳市生产环节食品加工</w:t>
      </w:r>
    </w:p>
    <w:p>
      <w:pPr>
        <w:adjustRightInd w:val="0"/>
        <w:snapToGrid w:val="0"/>
        <w:spacing w:line="64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小作坊专项抽</w:t>
      </w:r>
      <w:bookmarkStart w:id="0" w:name="_GoBack"/>
      <w:bookmarkEnd w:id="0"/>
      <w:r>
        <w:rPr>
          <w:rFonts w:hint="eastAsia" w:ascii="华文中宋" w:hAnsi="华文中宋" w:eastAsia="华文中宋"/>
          <w:b/>
          <w:sz w:val="44"/>
          <w:szCs w:val="44"/>
        </w:rPr>
        <w:t>样检验实施方案</w:t>
      </w:r>
    </w:p>
    <w:p>
      <w:pPr>
        <w:adjustRightInd w:val="0"/>
        <w:snapToGrid w:val="0"/>
        <w:spacing w:line="640" w:lineRule="exact"/>
        <w:jc w:val="center"/>
        <w:rPr>
          <w:rFonts w:hint="eastAsia" w:ascii="仿宋_GB2312" w:eastAsia="仿宋_GB2312"/>
        </w:rPr>
      </w:pPr>
    </w:p>
    <w:p>
      <w:pPr>
        <w:pStyle w:val="6"/>
        <w:spacing w:before="0" w:beforeLines="0" w:after="84" w:line="680" w:lineRule="exact"/>
        <w:ind w:firstLine="640"/>
        <w:rPr>
          <w:rFonts w:hint="eastAsia"/>
          <w:bCs w:val="0"/>
          <w:szCs w:val="32"/>
        </w:rPr>
      </w:pPr>
      <w:r>
        <w:rPr>
          <w:rFonts w:hint="eastAsia"/>
          <w:bCs w:val="0"/>
          <w:szCs w:val="32"/>
        </w:rPr>
        <w:t>为加强深圳市生产环节食品加工小作坊的食品安全抽检工作，保障广大消费者饮食安全和合法权益，我局对深圳市生产环节食品加工小作坊进行抽样检验，现制定方案如下：</w:t>
      </w:r>
    </w:p>
    <w:p>
      <w:pPr>
        <w:pStyle w:val="6"/>
        <w:spacing w:before="0" w:beforeLines="0" w:after="84" w:line="680" w:lineRule="exact"/>
        <w:ind w:firstLine="640"/>
        <w:rPr>
          <w:rFonts w:hint="eastAsia" w:ascii="黑体" w:hAnsi="黑体" w:eastAsia="黑体"/>
          <w:color w:val="000000"/>
          <w:szCs w:val="32"/>
        </w:rPr>
      </w:pPr>
      <w:r>
        <w:rPr>
          <w:rFonts w:hint="eastAsia" w:ascii="黑体" w:hAnsi="黑体" w:eastAsia="黑体"/>
          <w:color w:val="000000"/>
          <w:szCs w:val="32"/>
        </w:rPr>
        <w:t>一、抽检品种</w:t>
      </w:r>
    </w:p>
    <w:p>
      <w:pPr>
        <w:overflowPunct w:val="0"/>
        <w:topLinePunct/>
        <w:snapToGrid w:val="0"/>
        <w:spacing w:line="680" w:lineRule="exact"/>
        <w:ind w:firstLine="640" w:firstLineChars="200"/>
        <w:rPr>
          <w:rFonts w:hint="eastAsia" w:ascii="仿宋_GB2312" w:eastAsia="仿宋_GB2312"/>
          <w:sz w:val="32"/>
          <w:szCs w:val="32"/>
        </w:rPr>
      </w:pPr>
      <w:r>
        <w:rPr>
          <w:rFonts w:hint="eastAsia" w:ascii="仿宋_GB2312" w:eastAsia="仿宋_GB2312"/>
          <w:sz w:val="32"/>
          <w:szCs w:val="32"/>
        </w:rPr>
        <w:t>深圳市生产环节食品加工小作坊生产的粮食加工品、肉制品、白酒、糕点。</w:t>
      </w:r>
    </w:p>
    <w:p>
      <w:pPr>
        <w:pStyle w:val="6"/>
        <w:spacing w:before="0" w:beforeLines="0" w:after="84" w:line="680" w:lineRule="exact"/>
        <w:ind w:firstLine="640"/>
        <w:rPr>
          <w:rFonts w:hint="eastAsia" w:ascii="黑体" w:hAnsi="黑体" w:eastAsia="黑体"/>
          <w:color w:val="000000"/>
          <w:szCs w:val="32"/>
        </w:rPr>
      </w:pPr>
      <w:r>
        <w:rPr>
          <w:rFonts w:hint="eastAsia" w:ascii="黑体" w:hAnsi="黑体" w:eastAsia="黑体"/>
          <w:color w:val="000000"/>
          <w:szCs w:val="32"/>
        </w:rPr>
        <w:t>二、抽样场所</w:t>
      </w:r>
    </w:p>
    <w:p>
      <w:pPr>
        <w:pStyle w:val="6"/>
        <w:spacing w:before="0" w:beforeLines="0" w:after="84" w:line="680" w:lineRule="exact"/>
        <w:ind w:firstLine="640"/>
        <w:rPr>
          <w:rFonts w:hint="eastAsia"/>
          <w:bCs w:val="0"/>
          <w:szCs w:val="32"/>
        </w:rPr>
      </w:pPr>
      <w:r>
        <w:rPr>
          <w:rFonts w:hint="eastAsia"/>
          <w:bCs w:val="0"/>
          <w:szCs w:val="32"/>
        </w:rPr>
        <w:t>深圳市生产环节食品加工小作坊的成品仓库。</w:t>
      </w:r>
    </w:p>
    <w:p>
      <w:pPr>
        <w:pStyle w:val="6"/>
        <w:spacing w:before="0" w:beforeLines="0" w:after="84" w:line="680" w:lineRule="exact"/>
        <w:ind w:firstLine="640"/>
        <w:rPr>
          <w:rFonts w:hint="eastAsia" w:hAnsi="宋体"/>
          <w:b/>
          <w:color w:val="000000"/>
          <w:sz w:val="28"/>
          <w:szCs w:val="28"/>
        </w:rPr>
      </w:pPr>
      <w:r>
        <w:rPr>
          <w:rFonts w:hint="eastAsia" w:ascii="黑体" w:hAnsi="黑体" w:eastAsia="黑体"/>
          <w:color w:val="000000"/>
          <w:szCs w:val="32"/>
        </w:rPr>
        <w:t>三、承检单位</w:t>
      </w:r>
    </w:p>
    <w:p>
      <w:pPr>
        <w:pStyle w:val="6"/>
        <w:spacing w:before="0" w:beforeLines="0" w:after="84" w:line="680" w:lineRule="exact"/>
        <w:ind w:firstLine="640"/>
        <w:rPr>
          <w:rFonts w:hint="eastAsia"/>
          <w:sz w:val="28"/>
          <w:szCs w:val="28"/>
          <w:u w:val="single"/>
        </w:rPr>
      </w:pPr>
      <w:r>
        <w:rPr>
          <w:rFonts w:hint="eastAsia"/>
          <w:bCs w:val="0"/>
          <w:szCs w:val="32"/>
        </w:rPr>
        <w:t>深圳市计量质量检测研究院。</w:t>
      </w:r>
    </w:p>
    <w:p>
      <w:pPr>
        <w:pStyle w:val="6"/>
        <w:spacing w:before="0" w:beforeLines="0" w:after="84" w:line="680" w:lineRule="exact"/>
        <w:ind w:firstLine="640"/>
        <w:rPr>
          <w:rFonts w:hint="eastAsia" w:ascii="黑体" w:hAnsi="黑体" w:eastAsia="黑体"/>
          <w:color w:val="000000"/>
          <w:szCs w:val="32"/>
        </w:rPr>
      </w:pPr>
      <w:r>
        <w:rPr>
          <w:rFonts w:hint="eastAsia" w:ascii="黑体" w:hAnsi="黑体" w:eastAsia="黑体"/>
          <w:color w:val="000000"/>
          <w:szCs w:val="32"/>
        </w:rPr>
        <w:t>四、抽样方式及数量</w:t>
      </w:r>
    </w:p>
    <w:p>
      <w:pPr>
        <w:pStyle w:val="7"/>
        <w:spacing w:line="680" w:lineRule="exact"/>
        <w:ind w:firstLine="643" w:firstLineChars="200"/>
        <w:jc w:val="both"/>
        <w:outlineLvl w:val="0"/>
        <w:rPr>
          <w:rFonts w:hint="eastAsia" w:ascii="仿宋_GB2312" w:eastAsia="仿宋_GB2312" w:cs="Times New Roman"/>
          <w:color w:val="auto"/>
          <w:sz w:val="32"/>
          <w:szCs w:val="32"/>
        </w:rPr>
      </w:pPr>
      <w:r>
        <w:rPr>
          <w:rFonts w:hint="eastAsia" w:ascii="楷体_GB2312" w:hAnsi="楷体_GB2312" w:eastAsia="楷体_GB2312" w:cs="楷体_GB2312"/>
          <w:b/>
          <w:bCs/>
          <w:color w:val="auto"/>
          <w:sz w:val="32"/>
          <w:szCs w:val="32"/>
        </w:rPr>
        <w:t>（一）取样方式</w:t>
      </w:r>
      <w:r>
        <w:rPr>
          <w:rFonts w:hint="eastAsia" w:ascii="楷体" w:hAnsi="楷体" w:eastAsia="楷体" w:cs="楷体"/>
          <w:b/>
          <w:color w:val="auto"/>
          <w:sz w:val="32"/>
          <w:szCs w:val="32"/>
        </w:rPr>
        <w:t>：</w:t>
      </w:r>
      <w:r>
        <w:rPr>
          <w:rFonts w:hint="eastAsia" w:ascii="仿宋_GB2312" w:eastAsia="仿宋_GB2312" w:cs="Times New Roman"/>
          <w:color w:val="auto"/>
          <w:sz w:val="32"/>
          <w:szCs w:val="32"/>
        </w:rPr>
        <w:t>随机抽取样品。所抽样品须为同一规格、同一批次、近期生产、保质期内的合格产品。</w:t>
      </w:r>
    </w:p>
    <w:p>
      <w:pPr>
        <w:pStyle w:val="7"/>
        <w:spacing w:line="680" w:lineRule="exact"/>
        <w:ind w:firstLine="643" w:firstLineChars="200"/>
        <w:jc w:val="both"/>
        <w:outlineLvl w:val="0"/>
        <w:rPr>
          <w:rFonts w:hint="eastAsia" w:ascii="楷体" w:hAnsi="楷体" w:eastAsia="楷体" w:cs="楷体"/>
          <w:sz w:val="32"/>
          <w:szCs w:val="32"/>
        </w:rPr>
      </w:pPr>
      <w:r>
        <w:rPr>
          <w:rFonts w:hint="eastAsia" w:ascii="楷体_GB2312" w:hAnsi="楷体_GB2312" w:eastAsia="楷体_GB2312" w:cs="楷体_GB2312"/>
          <w:b/>
          <w:bCs/>
          <w:color w:val="auto"/>
          <w:sz w:val="32"/>
          <w:szCs w:val="32"/>
        </w:rPr>
        <w:t>（二）抽样数量</w:t>
      </w:r>
      <w:r>
        <w:rPr>
          <w:rFonts w:hint="eastAsia" w:ascii="楷体" w:hAnsi="楷体" w:eastAsia="楷体" w:cs="楷体"/>
          <w:sz w:val="32"/>
          <w:szCs w:val="32"/>
        </w:rPr>
        <w:t>：</w:t>
      </w:r>
    </w:p>
    <w:tbl>
      <w:tblPr>
        <w:tblStyle w:val="4"/>
        <w:tblW w:w="8989" w:type="dxa"/>
        <w:jc w:val="center"/>
        <w:tblInd w:w="0" w:type="dxa"/>
        <w:tblLayout w:type="fixed"/>
        <w:tblCellMar>
          <w:top w:w="15" w:type="dxa"/>
          <w:left w:w="15" w:type="dxa"/>
          <w:bottom w:w="15" w:type="dxa"/>
          <w:right w:w="15" w:type="dxa"/>
        </w:tblCellMar>
      </w:tblPr>
      <w:tblGrid>
        <w:gridCol w:w="439"/>
        <w:gridCol w:w="1934"/>
        <w:gridCol w:w="2204"/>
        <w:gridCol w:w="2204"/>
        <w:gridCol w:w="2208"/>
      </w:tblGrid>
      <w:tr>
        <w:tblPrEx>
          <w:tblLayout w:type="fixed"/>
          <w:tblCellMar>
            <w:top w:w="15" w:type="dxa"/>
            <w:left w:w="15" w:type="dxa"/>
            <w:bottom w:w="15" w:type="dxa"/>
            <w:right w:w="15" w:type="dxa"/>
          </w:tblCellMar>
        </w:tblPrEx>
        <w:trPr>
          <w:trHeight w:val="23" w:hRule="atLeast"/>
          <w:jc w:val="center"/>
        </w:trPr>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b/>
                <w:color w:val="000000"/>
                <w:lang w:bidi="ar"/>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b/>
                <w:color w:val="000000"/>
                <w:lang w:bidi="ar"/>
              </w:rPr>
              <w:t>食品细类</w:t>
            </w:r>
            <w:r>
              <w:rPr>
                <w:rFonts w:hint="eastAsia" w:ascii="仿宋_GB2312" w:hAnsi="仿宋_GB2312" w:eastAsia="仿宋_GB2312" w:cs="仿宋_GB2312"/>
                <w:b/>
                <w:color w:val="000000"/>
                <w:lang w:bidi="ar"/>
              </w:rPr>
              <w:br w:type="textWrapping"/>
            </w:r>
            <w:r>
              <w:rPr>
                <w:rFonts w:hint="eastAsia" w:ascii="仿宋_GB2312" w:hAnsi="仿宋_GB2312" w:eastAsia="仿宋_GB2312" w:cs="仿宋_GB2312"/>
                <w:b/>
                <w:color w:val="000000"/>
                <w:lang w:bidi="ar"/>
              </w:rPr>
              <w:t>(四级)</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b/>
                <w:color w:val="000000"/>
                <w:lang w:bidi="ar"/>
              </w:rPr>
              <w:t>总 量</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b/>
                <w:color w:val="000000"/>
                <w:lang w:bidi="ar"/>
              </w:rPr>
              <w:t>检 测</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b/>
                <w:color w:val="000000"/>
                <w:lang w:bidi="ar"/>
              </w:rPr>
              <w:t>留样</w:t>
            </w:r>
          </w:p>
        </w:tc>
      </w:tr>
      <w:tr>
        <w:tblPrEx>
          <w:tblLayout w:type="fixed"/>
          <w:tblCellMar>
            <w:top w:w="15" w:type="dxa"/>
            <w:left w:w="15" w:type="dxa"/>
            <w:bottom w:w="15" w:type="dxa"/>
            <w:right w:w="15" w:type="dxa"/>
          </w:tblCellMar>
        </w:tblPrEx>
        <w:trPr>
          <w:trHeight w:val="23" w:hRule="atLeast"/>
          <w:jc w:val="center"/>
        </w:trPr>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lang w:bidi="ar"/>
              </w:rPr>
              <w:t>生湿面制品</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≥4个包装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(≥600g)</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≥2个包装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(≥400g)</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≥2个包装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(≥200g)</w:t>
            </w:r>
          </w:p>
        </w:tc>
      </w:tr>
      <w:tr>
        <w:tblPrEx>
          <w:tblLayout w:type="fixed"/>
          <w:tblCellMar>
            <w:top w:w="15" w:type="dxa"/>
            <w:left w:w="15" w:type="dxa"/>
            <w:bottom w:w="15" w:type="dxa"/>
            <w:right w:w="15" w:type="dxa"/>
          </w:tblCellMar>
        </w:tblPrEx>
        <w:trPr>
          <w:trHeight w:val="23" w:hRule="atLeast"/>
          <w:jc w:val="center"/>
        </w:trPr>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lang w:bidi="ar"/>
              </w:rPr>
              <w:t>米粉制品</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熟制品: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≥8个包装(≥600g)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生制品: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≥4个包装(≥600g)</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熟制品: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≥6个包装(≥400g)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生制品: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≥2个包装(≥400g)</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熟制品: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≥2个包装(≥200g)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生制品: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≥2个包装(≥200g)</w:t>
            </w:r>
          </w:p>
        </w:tc>
      </w:tr>
      <w:tr>
        <w:tblPrEx>
          <w:tblLayout w:type="fixed"/>
          <w:tblCellMar>
            <w:top w:w="15" w:type="dxa"/>
            <w:left w:w="15" w:type="dxa"/>
            <w:bottom w:w="15" w:type="dxa"/>
            <w:right w:w="15" w:type="dxa"/>
          </w:tblCellMar>
        </w:tblPrEx>
        <w:trPr>
          <w:trHeight w:val="23" w:hRule="atLeast"/>
          <w:jc w:val="center"/>
        </w:trPr>
        <w:tc>
          <w:tcPr>
            <w:tcW w:w="439" w:type="dxa"/>
            <w:tcBorders>
              <w:top w:val="single" w:color="000000" w:sz="4" w:space="0"/>
              <w:left w:val="single" w:color="000000" w:sz="4" w:space="0"/>
              <w:bottom w:val="single" w:color="000000" w:sz="4" w:space="0"/>
              <w:right w:val="single" w:color="000000" w:sz="4" w:space="0"/>
            </w:tcBorders>
            <w:shd w:val="clear" w:color="FFFFFF" w:fill="auto"/>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3</w:t>
            </w:r>
          </w:p>
        </w:tc>
        <w:tc>
          <w:tcPr>
            <w:tcW w:w="1934" w:type="dxa"/>
            <w:tcBorders>
              <w:top w:val="single" w:color="000000" w:sz="4" w:space="0"/>
              <w:left w:val="single" w:color="000000" w:sz="4" w:space="0"/>
              <w:bottom w:val="single" w:color="000000" w:sz="4" w:space="0"/>
              <w:right w:val="single" w:color="000000" w:sz="4" w:space="0"/>
            </w:tcBorders>
            <w:shd w:val="clear" w:color="FFFFFF" w:fill="auto"/>
            <w:noWrap w:val="0"/>
            <w:vAlign w:val="center"/>
          </w:tcPr>
          <w:p>
            <w:pPr>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lang w:bidi="ar"/>
              </w:rPr>
              <w:t>其他谷物粉类制成品</w:t>
            </w:r>
          </w:p>
        </w:tc>
        <w:tc>
          <w:tcPr>
            <w:tcW w:w="2204" w:type="dxa"/>
            <w:tcBorders>
              <w:top w:val="single" w:color="000000" w:sz="4" w:space="0"/>
              <w:left w:val="single" w:color="000000" w:sz="4" w:space="0"/>
              <w:bottom w:val="single" w:color="000000" w:sz="4" w:space="0"/>
              <w:right w:val="single" w:color="000000" w:sz="4" w:space="0"/>
            </w:tcBorders>
            <w:shd w:val="clear" w:color="FFFFFF" w:fill="auto"/>
            <w:noWrap w:val="0"/>
            <w:vAlign w:val="center"/>
          </w:tcPr>
          <w:p>
            <w:pPr>
              <w:jc w:val="center"/>
              <w:textAlignment w:val="center"/>
              <w:rPr>
                <w:rFonts w:hint="eastAsia" w:ascii="仿宋_GB2312" w:hAnsi="仿宋_GB2312" w:eastAsia="仿宋_GB2312" w:cs="仿宋_GB2312"/>
                <w:color w:val="FF0000"/>
                <w:lang w:bidi="ar"/>
              </w:rPr>
            </w:pPr>
            <w:r>
              <w:rPr>
                <w:rFonts w:hint="eastAsia" w:ascii="仿宋_GB2312" w:hAnsi="仿宋_GB2312" w:eastAsia="仿宋_GB2312" w:cs="仿宋_GB2312"/>
                <w:color w:val="000000"/>
                <w:lang w:bidi="ar"/>
              </w:rPr>
              <w:t>(熟制)玉米制品: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≥8个包装(≥2.5kg)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(生制)玉米制品: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≥4个包装(≥2kg)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(熟制)非玉米制品: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≥8个包装(≥600g)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(生制)非玉米制品: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≥4个包装(≥600g)</w:t>
            </w:r>
          </w:p>
        </w:tc>
        <w:tc>
          <w:tcPr>
            <w:tcW w:w="2204" w:type="dxa"/>
            <w:tcBorders>
              <w:top w:val="single" w:color="000000" w:sz="4" w:space="0"/>
              <w:left w:val="single" w:color="000000" w:sz="4" w:space="0"/>
              <w:bottom w:val="single" w:color="000000" w:sz="4" w:space="0"/>
              <w:right w:val="single" w:color="000000" w:sz="4" w:space="0"/>
            </w:tcBorders>
            <w:shd w:val="clear" w:color="FFFFFF" w:fill="auto"/>
            <w:noWrap w:val="0"/>
            <w:vAlign w:val="center"/>
          </w:tcPr>
          <w:p>
            <w:pPr>
              <w:jc w:val="center"/>
              <w:textAlignment w:val="center"/>
              <w:rPr>
                <w:rFonts w:hint="eastAsia" w:ascii="仿宋_GB2312" w:hAnsi="仿宋_GB2312" w:eastAsia="仿宋_GB2312" w:cs="仿宋_GB2312"/>
                <w:color w:val="FF0000"/>
                <w:lang w:bidi="ar"/>
              </w:rPr>
            </w:pPr>
            <w:r>
              <w:rPr>
                <w:rFonts w:hint="eastAsia" w:ascii="仿宋_GB2312" w:hAnsi="仿宋_GB2312" w:eastAsia="仿宋_GB2312" w:cs="仿宋_GB2312"/>
                <w:color w:val="000000"/>
                <w:lang w:bidi="ar"/>
              </w:rPr>
              <w:t>(熟制)玉米制品: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≥6个包装(≥1.5kg)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(生制)玉米制品: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≥2个包装(≥1kg)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(熟制)非玉米制品: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≥6个包装(≥400g)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(生制)非玉米制品: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≥2个包装(≥400g)</w:t>
            </w:r>
          </w:p>
        </w:tc>
        <w:tc>
          <w:tcPr>
            <w:tcW w:w="2208" w:type="dxa"/>
            <w:tcBorders>
              <w:top w:val="single" w:color="000000" w:sz="4" w:space="0"/>
              <w:left w:val="single" w:color="000000" w:sz="4" w:space="0"/>
              <w:bottom w:val="single" w:color="000000" w:sz="4" w:space="0"/>
              <w:right w:val="single" w:color="000000" w:sz="4" w:space="0"/>
            </w:tcBorders>
            <w:shd w:val="clear" w:color="FFFFFF" w:fill="auto"/>
            <w:noWrap w:val="0"/>
            <w:vAlign w:val="center"/>
          </w:tcPr>
          <w:p>
            <w:pPr>
              <w:jc w:val="center"/>
              <w:textAlignment w:val="center"/>
              <w:rPr>
                <w:rFonts w:hint="eastAsia" w:ascii="仿宋_GB2312" w:hAnsi="仿宋_GB2312" w:eastAsia="仿宋_GB2312" w:cs="仿宋_GB2312"/>
                <w:color w:val="FF0000"/>
                <w:lang w:bidi="ar"/>
              </w:rPr>
            </w:pPr>
            <w:r>
              <w:rPr>
                <w:rFonts w:hint="eastAsia" w:ascii="仿宋_GB2312" w:hAnsi="仿宋_GB2312" w:eastAsia="仿宋_GB2312" w:cs="仿宋_GB2312"/>
                <w:color w:val="000000"/>
                <w:lang w:bidi="ar"/>
              </w:rPr>
              <w:t>(熟制)玉米制品: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≥2个包装(≥1kg)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(生制)玉米制品: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≥2个包装(≥1kg)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(熟制)非玉米制品: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≥2个包装(≥200g)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(生制)非玉米制品:</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≥2个包装(≥200g)</w:t>
            </w:r>
          </w:p>
        </w:tc>
      </w:tr>
      <w:tr>
        <w:tblPrEx>
          <w:tblLayout w:type="fixed"/>
          <w:tblCellMar>
            <w:top w:w="15" w:type="dxa"/>
            <w:left w:w="15" w:type="dxa"/>
            <w:bottom w:w="15" w:type="dxa"/>
            <w:right w:w="15" w:type="dxa"/>
          </w:tblCellMar>
        </w:tblPrEx>
        <w:trPr>
          <w:trHeight w:val="23" w:hRule="atLeast"/>
          <w:jc w:val="center"/>
        </w:trPr>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lang w:bidi="ar"/>
              </w:rPr>
              <w:t>酱卤肉制品</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预包装：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≥8个包装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(可食部分≥1kg)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散装：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≥4个包装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(可食部分≥1kg)</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预包装：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≥6个包装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(可食部分≥800g)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散装：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(可食部分≥800g)</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预包装：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(可食部分≥200g)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散装：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(可食部分≥200g)</w:t>
            </w:r>
          </w:p>
        </w:tc>
      </w:tr>
      <w:tr>
        <w:tblPrEx>
          <w:tblLayout w:type="fixed"/>
          <w:tblCellMar>
            <w:top w:w="15" w:type="dxa"/>
            <w:left w:w="15" w:type="dxa"/>
            <w:bottom w:w="15" w:type="dxa"/>
            <w:right w:w="15" w:type="dxa"/>
          </w:tblCellMar>
        </w:tblPrEx>
        <w:trPr>
          <w:trHeight w:val="23" w:hRule="atLeast"/>
          <w:jc w:val="center"/>
        </w:trPr>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5</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lang w:bidi="ar"/>
              </w:rPr>
              <w:t>熏烧烤肉制品</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预包装：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≥8个包装(可食部分≥2kg)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散装：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≥3个包装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(可食部分≥1.8kg)</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预包装：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≥6个包装(可食部分≥1kg)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散装：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(可食部分≥1kg)</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预包装：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≥2个包装(可食部分≥1kg)</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散装：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≥1个包装</w:t>
            </w:r>
            <w:r>
              <w:rPr>
                <w:rFonts w:hint="eastAsia" w:ascii="仿宋_GB2312" w:hAnsi="仿宋_GB2312" w:eastAsia="仿宋_GB2312" w:cs="仿宋_GB2312"/>
                <w:color w:val="000000"/>
                <w:lang w:bidi="ar"/>
              </w:rPr>
              <w:br w:type="textWrapping"/>
            </w:r>
            <w:r>
              <w:rPr>
                <w:rFonts w:hint="eastAsia" w:ascii="仿宋_GB2312" w:hAnsi="仿宋_GB2312" w:eastAsia="仿宋_GB2312" w:cs="仿宋_GB2312"/>
                <w:color w:val="000000"/>
                <w:lang w:bidi="ar"/>
              </w:rPr>
              <w:t>(可食部分≥800g)</w:t>
            </w:r>
          </w:p>
        </w:tc>
      </w:tr>
      <w:tr>
        <w:tblPrEx>
          <w:tblLayout w:type="fixed"/>
          <w:tblCellMar>
            <w:top w:w="15" w:type="dxa"/>
            <w:left w:w="15" w:type="dxa"/>
            <w:bottom w:w="15" w:type="dxa"/>
            <w:right w:w="15" w:type="dxa"/>
          </w:tblCellMar>
        </w:tblPrEx>
        <w:trPr>
          <w:trHeight w:val="23" w:hRule="atLeast"/>
          <w:jc w:val="center"/>
        </w:trPr>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6</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调理肉制品(非速冻)</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≥3个包装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(可食部分≥300g)</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≥2个包装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(可食部分≥200g)</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≥1个包装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(可食部分≥100g)</w:t>
            </w:r>
          </w:p>
        </w:tc>
      </w:tr>
      <w:tr>
        <w:tblPrEx>
          <w:tblLayout w:type="fixed"/>
          <w:tblCellMar>
            <w:top w:w="15" w:type="dxa"/>
            <w:left w:w="15" w:type="dxa"/>
            <w:bottom w:w="15" w:type="dxa"/>
            <w:right w:w="15" w:type="dxa"/>
          </w:tblCellMar>
        </w:tblPrEx>
        <w:trPr>
          <w:trHeight w:val="23" w:hRule="atLeast"/>
          <w:jc w:val="center"/>
        </w:trPr>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7</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白酒、白酒（液态）、白酒（原酒）</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≥4个包装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(≥2L)</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≥2个包装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(≥1L)</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≥2个包装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(≥1L)</w:t>
            </w:r>
          </w:p>
        </w:tc>
      </w:tr>
      <w:tr>
        <w:tblPrEx>
          <w:tblLayout w:type="fixed"/>
          <w:tblCellMar>
            <w:top w:w="15" w:type="dxa"/>
            <w:left w:w="15" w:type="dxa"/>
            <w:bottom w:w="15" w:type="dxa"/>
            <w:right w:w="15" w:type="dxa"/>
          </w:tblCellMar>
        </w:tblPrEx>
        <w:trPr>
          <w:trHeight w:val="23" w:hRule="atLeast"/>
          <w:jc w:val="center"/>
        </w:trPr>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8</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糕点</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≥8个包装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(≥2kg)</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≥6个包装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(≥1.5kg)</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≥2个包装</w:t>
            </w:r>
          </w:p>
          <w:p>
            <w:pPr>
              <w:jc w:val="center"/>
              <w:textAlignment w:val="center"/>
              <w:rPr>
                <w:rFonts w:hint="eastAsia" w:ascii="仿宋_GB2312" w:hAnsi="仿宋_GB2312" w:eastAsia="仿宋_GB2312" w:cs="仿宋_GB2312"/>
                <w:color w:val="000000"/>
                <w:lang w:bidi="ar"/>
              </w:rPr>
            </w:pPr>
            <w:r>
              <w:rPr>
                <w:rFonts w:hint="eastAsia" w:ascii="仿宋_GB2312" w:hAnsi="仿宋_GB2312" w:eastAsia="仿宋_GB2312" w:cs="仿宋_GB2312"/>
                <w:color w:val="000000"/>
                <w:lang w:bidi="ar"/>
              </w:rPr>
              <w:t>(≥500g)</w:t>
            </w:r>
          </w:p>
        </w:tc>
      </w:tr>
    </w:tbl>
    <w:p>
      <w:pPr>
        <w:pStyle w:val="7"/>
        <w:spacing w:line="680" w:lineRule="exact"/>
        <w:ind w:firstLine="643" w:firstLineChars="200"/>
        <w:jc w:val="both"/>
        <w:outlineLvl w:val="0"/>
        <w:rPr>
          <w:rFonts w:hint="eastAsia" w:ascii="仿宋_GB2312" w:eastAsia="仿宋_GB2312"/>
          <w:sz w:val="32"/>
          <w:szCs w:val="32"/>
          <w:u w:val="single"/>
        </w:rPr>
      </w:pPr>
      <w:r>
        <w:rPr>
          <w:rFonts w:hint="eastAsia" w:ascii="楷体_GB2312" w:hAnsi="楷体_GB2312" w:eastAsia="楷体_GB2312" w:cs="楷体_GB2312"/>
          <w:b/>
          <w:bCs/>
          <w:color w:val="auto"/>
          <w:sz w:val="32"/>
          <w:szCs w:val="32"/>
        </w:rPr>
        <w:t>（三）样品批次</w:t>
      </w:r>
      <w:r>
        <w:rPr>
          <w:rFonts w:hint="eastAsia" w:ascii="楷体" w:hAnsi="楷体" w:eastAsia="楷体" w:cs="楷体"/>
          <w:b/>
          <w:sz w:val="32"/>
          <w:szCs w:val="32"/>
        </w:rPr>
        <w:t>：</w:t>
      </w:r>
      <w:r>
        <w:rPr>
          <w:rFonts w:hint="eastAsia" w:ascii="仿宋_GB2312" w:eastAsia="仿宋_GB2312"/>
          <w:color w:val="auto"/>
          <w:sz w:val="32"/>
          <w:szCs w:val="32"/>
        </w:rPr>
        <w:t>预计：</w:t>
      </w:r>
      <w:r>
        <w:rPr>
          <w:rFonts w:hint="eastAsia" w:ascii="仿宋_GB2312" w:eastAsia="仿宋_GB2312"/>
          <w:color w:val="auto"/>
          <w:sz w:val="32"/>
          <w:szCs w:val="32"/>
          <w:u w:val="single"/>
        </w:rPr>
        <w:t>126</w:t>
      </w:r>
      <w:r>
        <w:rPr>
          <w:rFonts w:hint="eastAsia" w:ascii="仿宋_GB2312" w:eastAsia="仿宋_GB2312"/>
          <w:color w:val="auto"/>
          <w:sz w:val="32"/>
          <w:szCs w:val="32"/>
        </w:rPr>
        <w:t>家，</w:t>
      </w:r>
      <w:r>
        <w:rPr>
          <w:rFonts w:hint="eastAsia" w:ascii="仿宋_GB2312" w:eastAsia="仿宋_GB2312"/>
          <w:color w:val="auto"/>
          <w:sz w:val="32"/>
          <w:szCs w:val="32"/>
          <w:u w:val="single"/>
        </w:rPr>
        <w:t>1500</w:t>
      </w:r>
      <w:r>
        <w:rPr>
          <w:rFonts w:hint="eastAsia" w:ascii="仿宋_GB2312" w:eastAsia="仿宋_GB2312"/>
          <w:color w:val="auto"/>
          <w:sz w:val="32"/>
          <w:szCs w:val="32"/>
        </w:rPr>
        <w:t>批次</w:t>
      </w:r>
      <w:r>
        <w:rPr>
          <w:rFonts w:hint="eastAsia" w:ascii="仿宋_GB2312" w:eastAsia="仿宋_GB2312"/>
          <w:sz w:val="32"/>
          <w:szCs w:val="32"/>
        </w:rPr>
        <w:t>（（根据深圳市食品小作坊获证情况，实行全覆盖抽检）。</w:t>
      </w:r>
    </w:p>
    <w:p>
      <w:pPr>
        <w:pStyle w:val="6"/>
        <w:spacing w:before="0" w:beforeLines="0" w:after="84" w:line="680" w:lineRule="exact"/>
        <w:ind w:firstLine="640"/>
        <w:rPr>
          <w:rFonts w:hint="eastAsia" w:ascii="黑体" w:hAnsi="黑体" w:eastAsia="黑体"/>
          <w:color w:val="000000"/>
          <w:szCs w:val="32"/>
        </w:rPr>
      </w:pPr>
      <w:r>
        <w:rPr>
          <w:rFonts w:hint="eastAsia" w:ascii="黑体" w:hAnsi="黑体" w:eastAsia="黑体"/>
          <w:color w:val="000000"/>
          <w:szCs w:val="32"/>
        </w:rPr>
        <w:t>五、时间要求</w:t>
      </w:r>
    </w:p>
    <w:p>
      <w:pPr>
        <w:pStyle w:val="6"/>
        <w:spacing w:before="0" w:beforeLines="0" w:after="84" w:line="640" w:lineRule="exact"/>
        <w:ind w:firstLine="640"/>
        <w:rPr>
          <w:rFonts w:hint="eastAsia" w:hAnsi="宋体" w:cs="黑体"/>
          <w:bCs w:val="0"/>
          <w:szCs w:val="32"/>
        </w:rPr>
      </w:pPr>
      <w:r>
        <w:rPr>
          <w:rFonts w:hint="eastAsia"/>
          <w:color w:val="000000"/>
          <w:szCs w:val="32"/>
        </w:rPr>
        <w:t>20</w:t>
      </w:r>
      <w:r>
        <w:rPr>
          <w:rFonts w:hint="eastAsia"/>
          <w:szCs w:val="32"/>
          <w:u w:val="single"/>
        </w:rPr>
        <w:t>20</w:t>
      </w:r>
      <w:r>
        <w:rPr>
          <w:rFonts w:hint="eastAsia"/>
          <w:color w:val="000000"/>
          <w:szCs w:val="32"/>
        </w:rPr>
        <w:t>年</w:t>
      </w:r>
      <w:r>
        <w:rPr>
          <w:rFonts w:hint="eastAsia"/>
          <w:szCs w:val="32"/>
          <w:u w:val="single"/>
        </w:rPr>
        <w:t>04</w:t>
      </w:r>
      <w:r>
        <w:rPr>
          <w:rFonts w:hint="eastAsia"/>
          <w:color w:val="000000"/>
          <w:szCs w:val="32"/>
        </w:rPr>
        <w:t>月</w:t>
      </w:r>
      <w:r>
        <w:rPr>
          <w:rFonts w:hint="eastAsia"/>
          <w:szCs w:val="32"/>
          <w:u w:val="single"/>
        </w:rPr>
        <w:t>03</w:t>
      </w:r>
      <w:r>
        <w:rPr>
          <w:rFonts w:hint="eastAsia"/>
          <w:color w:val="000000"/>
          <w:szCs w:val="32"/>
        </w:rPr>
        <w:t>日— 20</w:t>
      </w:r>
      <w:r>
        <w:rPr>
          <w:rFonts w:hint="eastAsia"/>
          <w:szCs w:val="32"/>
          <w:u w:val="single"/>
        </w:rPr>
        <w:t>20</w:t>
      </w:r>
      <w:r>
        <w:rPr>
          <w:rFonts w:hint="eastAsia"/>
          <w:color w:val="000000"/>
          <w:szCs w:val="32"/>
        </w:rPr>
        <w:t>年</w:t>
      </w:r>
      <w:r>
        <w:rPr>
          <w:rFonts w:hint="eastAsia"/>
          <w:szCs w:val="32"/>
          <w:u w:val="single"/>
        </w:rPr>
        <w:t>09</w:t>
      </w:r>
      <w:r>
        <w:rPr>
          <w:rFonts w:hint="eastAsia"/>
          <w:color w:val="000000"/>
          <w:szCs w:val="32"/>
        </w:rPr>
        <w:t>月</w:t>
      </w:r>
      <w:r>
        <w:rPr>
          <w:rFonts w:hint="eastAsia"/>
          <w:szCs w:val="32"/>
          <w:u w:val="single"/>
        </w:rPr>
        <w:t>30</w:t>
      </w:r>
      <w:r>
        <w:rPr>
          <w:rFonts w:hint="eastAsia"/>
          <w:color w:val="000000"/>
          <w:szCs w:val="32"/>
        </w:rPr>
        <w:t>日完成抽样，20</w:t>
      </w:r>
      <w:r>
        <w:rPr>
          <w:rFonts w:hint="eastAsia"/>
          <w:szCs w:val="32"/>
          <w:u w:val="single"/>
        </w:rPr>
        <w:t>20</w:t>
      </w:r>
      <w:r>
        <w:rPr>
          <w:rFonts w:hint="eastAsia"/>
          <w:color w:val="000000"/>
          <w:szCs w:val="32"/>
        </w:rPr>
        <w:t>年</w:t>
      </w:r>
      <w:r>
        <w:rPr>
          <w:rFonts w:hint="eastAsia"/>
          <w:szCs w:val="32"/>
          <w:u w:val="single"/>
        </w:rPr>
        <w:t>04</w:t>
      </w:r>
      <w:r>
        <w:rPr>
          <w:rFonts w:hint="eastAsia"/>
          <w:color w:val="000000"/>
          <w:szCs w:val="32"/>
        </w:rPr>
        <w:t>月</w:t>
      </w:r>
      <w:r>
        <w:rPr>
          <w:rFonts w:hint="eastAsia"/>
          <w:szCs w:val="32"/>
          <w:u w:val="single"/>
        </w:rPr>
        <w:t>04</w:t>
      </w:r>
      <w:r>
        <w:rPr>
          <w:rFonts w:hint="eastAsia"/>
          <w:color w:val="000000"/>
          <w:szCs w:val="32"/>
        </w:rPr>
        <w:t>日—20</w:t>
      </w:r>
      <w:r>
        <w:rPr>
          <w:rFonts w:hint="eastAsia"/>
          <w:szCs w:val="32"/>
          <w:u w:val="single"/>
        </w:rPr>
        <w:t>20</w:t>
      </w:r>
      <w:r>
        <w:rPr>
          <w:rFonts w:hint="eastAsia"/>
          <w:color w:val="000000"/>
          <w:szCs w:val="32"/>
        </w:rPr>
        <w:t>年</w:t>
      </w:r>
      <w:r>
        <w:rPr>
          <w:rFonts w:hint="eastAsia"/>
          <w:szCs w:val="32"/>
          <w:u w:val="single"/>
        </w:rPr>
        <w:t>10</w:t>
      </w:r>
      <w:r>
        <w:rPr>
          <w:rFonts w:hint="eastAsia"/>
          <w:color w:val="000000"/>
          <w:szCs w:val="32"/>
        </w:rPr>
        <w:t>月</w:t>
      </w:r>
      <w:r>
        <w:rPr>
          <w:rFonts w:hint="eastAsia"/>
          <w:szCs w:val="32"/>
          <w:u w:val="single"/>
        </w:rPr>
        <w:t>23</w:t>
      </w:r>
      <w:r>
        <w:rPr>
          <w:rFonts w:hint="eastAsia"/>
          <w:color w:val="000000"/>
          <w:szCs w:val="32"/>
        </w:rPr>
        <w:t>日完成检验，20</w:t>
      </w:r>
      <w:r>
        <w:rPr>
          <w:rFonts w:hint="eastAsia"/>
          <w:szCs w:val="32"/>
          <w:u w:val="single"/>
        </w:rPr>
        <w:t>20</w:t>
      </w:r>
      <w:r>
        <w:rPr>
          <w:rFonts w:hint="eastAsia"/>
          <w:color w:val="000000"/>
          <w:szCs w:val="32"/>
        </w:rPr>
        <w:t>年</w:t>
      </w:r>
      <w:r>
        <w:rPr>
          <w:rFonts w:hint="eastAsia"/>
          <w:szCs w:val="32"/>
          <w:u w:val="single"/>
        </w:rPr>
        <w:t>11</w:t>
      </w:r>
      <w:r>
        <w:rPr>
          <w:rFonts w:hint="eastAsia"/>
          <w:color w:val="000000"/>
          <w:szCs w:val="32"/>
        </w:rPr>
        <w:t>月</w:t>
      </w:r>
      <w:r>
        <w:rPr>
          <w:rFonts w:hint="eastAsia"/>
          <w:szCs w:val="32"/>
          <w:u w:val="single"/>
        </w:rPr>
        <w:t>15</w:t>
      </w:r>
      <w:r>
        <w:rPr>
          <w:rFonts w:hint="eastAsia"/>
          <w:color w:val="000000"/>
          <w:szCs w:val="32"/>
        </w:rPr>
        <w:t>日前完成检验结果报送及报账。</w:t>
      </w:r>
    </w:p>
    <w:p>
      <w:pPr>
        <w:pStyle w:val="6"/>
        <w:spacing w:before="0" w:beforeLines="0" w:after="84" w:line="680" w:lineRule="exact"/>
        <w:ind w:firstLine="640"/>
        <w:rPr>
          <w:rFonts w:hint="eastAsia" w:ascii="黑体" w:hAnsi="黑体" w:eastAsia="黑体"/>
          <w:color w:val="000000"/>
          <w:szCs w:val="32"/>
        </w:rPr>
      </w:pPr>
      <w:r>
        <w:rPr>
          <w:rFonts w:hint="eastAsia" w:ascii="黑体" w:hAnsi="黑体" w:eastAsia="黑体"/>
          <w:color w:val="000000"/>
          <w:szCs w:val="32"/>
        </w:rPr>
        <w:t>六、检验相关事项要求</w:t>
      </w:r>
    </w:p>
    <w:p>
      <w:pPr>
        <w:pStyle w:val="2"/>
        <w:adjustRightInd w:val="0"/>
        <w:snapToGrid w:val="0"/>
        <w:spacing w:before="0" w:after="0" w:line="680" w:lineRule="exact"/>
        <w:ind w:firstLine="643"/>
        <w:rPr>
          <w:rFonts w:hint="eastAsia" w:ascii="仿宋_GB2312" w:eastAsia="仿宋_GB2312"/>
          <w:b/>
          <w:bCs/>
          <w:color w:val="000000"/>
          <w:sz w:val="32"/>
          <w:szCs w:val="32"/>
        </w:rPr>
      </w:pPr>
      <w:r>
        <w:rPr>
          <w:rFonts w:hint="eastAsia" w:ascii="楷体_GB2312" w:hAnsi="楷体_GB2312" w:eastAsia="楷体_GB2312" w:cs="楷体_GB2312"/>
          <w:b/>
          <w:bCs/>
          <w:sz w:val="32"/>
          <w:szCs w:val="32"/>
        </w:rPr>
        <w:t>（一）检验项目及要求</w:t>
      </w:r>
    </w:p>
    <w:p>
      <w:pPr>
        <w:adjustRightInd w:val="0"/>
        <w:snapToGrid w:val="0"/>
        <w:spacing w:line="640" w:lineRule="exact"/>
        <w:ind w:firstLine="672" w:firstLineChars="197"/>
        <w:rPr>
          <w:rFonts w:hint="eastAsia" w:ascii="仿宋_GB2312" w:eastAsia="仿宋_GB2312"/>
          <w:b/>
          <w:spacing w:val="10"/>
          <w:sz w:val="32"/>
          <w:szCs w:val="32"/>
        </w:rPr>
      </w:pPr>
      <w:r>
        <w:rPr>
          <w:rFonts w:hint="eastAsia" w:ascii="仿宋_GB2312" w:eastAsia="仿宋_GB2312"/>
          <w:b/>
          <w:iCs/>
          <w:spacing w:val="10"/>
          <w:sz w:val="32"/>
          <w:szCs w:val="32"/>
        </w:rPr>
        <w:t>1.</w:t>
      </w:r>
      <w:r>
        <w:rPr>
          <w:rFonts w:hint="eastAsia" w:ascii="仿宋_GB2312" w:eastAsia="仿宋_GB2312"/>
          <w:b/>
          <w:spacing w:val="10"/>
          <w:sz w:val="32"/>
          <w:szCs w:val="32"/>
        </w:rPr>
        <w:t>检测项目</w:t>
      </w:r>
    </w:p>
    <w:tbl>
      <w:tblPr>
        <w:tblStyle w:val="4"/>
        <w:tblW w:w="9417" w:type="dxa"/>
        <w:jc w:val="center"/>
        <w:tblInd w:w="0" w:type="dxa"/>
        <w:tblLayout w:type="fixed"/>
        <w:tblCellMar>
          <w:top w:w="15" w:type="dxa"/>
          <w:left w:w="15" w:type="dxa"/>
          <w:bottom w:w="15" w:type="dxa"/>
          <w:right w:w="15" w:type="dxa"/>
        </w:tblCellMar>
      </w:tblPr>
      <w:tblGrid>
        <w:gridCol w:w="444"/>
        <w:gridCol w:w="1047"/>
        <w:gridCol w:w="1050"/>
        <w:gridCol w:w="1065"/>
        <w:gridCol w:w="1125"/>
        <w:gridCol w:w="4686"/>
      </w:tblGrid>
      <w:tr>
        <w:tblPrEx>
          <w:tblLayout w:type="fixed"/>
          <w:tblCellMar>
            <w:top w:w="15" w:type="dxa"/>
            <w:left w:w="15" w:type="dxa"/>
            <w:bottom w:w="15" w:type="dxa"/>
            <w:right w:w="15" w:type="dxa"/>
          </w:tblCellMar>
        </w:tblPrEx>
        <w:trPr>
          <w:trHeight w:val="23" w:hRule="atLeast"/>
          <w:tblHeader/>
          <w:jc w:val="center"/>
        </w:trPr>
        <w:tc>
          <w:tcPr>
            <w:tcW w:w="44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b/>
                <w:lang w:bidi="ar"/>
              </w:rPr>
            </w:pPr>
            <w:r>
              <w:rPr>
                <w:rFonts w:hint="eastAsia" w:ascii="仿宋_GB2312" w:hAnsi="仿宋_GB2312" w:eastAsia="仿宋_GB2312" w:cs="仿宋_GB2312"/>
                <w:b/>
                <w:lang w:bidi="ar"/>
              </w:rPr>
              <w:t>序号</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b/>
              </w:rPr>
            </w:pPr>
            <w:r>
              <w:rPr>
                <w:rFonts w:hint="eastAsia" w:ascii="仿宋_GB2312" w:hAnsi="仿宋_GB2312" w:eastAsia="仿宋_GB2312" w:cs="仿宋_GB2312"/>
                <w:b/>
                <w:lang w:bidi="ar"/>
              </w:rPr>
              <w:t>食品大类（一级）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b/>
              </w:rPr>
            </w:pPr>
            <w:r>
              <w:rPr>
                <w:rFonts w:hint="eastAsia" w:ascii="仿宋_GB2312" w:hAnsi="仿宋_GB2312" w:eastAsia="仿宋_GB2312" w:cs="仿宋_GB2312"/>
                <w:b/>
                <w:lang w:bidi="ar"/>
              </w:rPr>
              <w:t>食品亚类（二级）</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b/>
              </w:rPr>
            </w:pPr>
            <w:r>
              <w:rPr>
                <w:rFonts w:hint="eastAsia" w:ascii="仿宋_GB2312" w:hAnsi="仿宋_GB2312" w:eastAsia="仿宋_GB2312" w:cs="仿宋_GB2312"/>
                <w:b/>
                <w:lang w:bidi="ar"/>
              </w:rPr>
              <w:t>食品品种（三级）</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b/>
              </w:rPr>
            </w:pPr>
            <w:r>
              <w:rPr>
                <w:rFonts w:hint="eastAsia" w:ascii="仿宋_GB2312" w:hAnsi="仿宋_GB2312" w:eastAsia="仿宋_GB2312" w:cs="仿宋_GB2312"/>
                <w:b/>
                <w:lang w:bidi="ar"/>
              </w:rPr>
              <w:t>食品细类（四级）</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b/>
              </w:rPr>
            </w:pPr>
            <w:r>
              <w:rPr>
                <w:rFonts w:hint="eastAsia" w:ascii="仿宋_GB2312" w:hAnsi="仿宋_GB2312" w:eastAsia="仿宋_GB2312" w:cs="仿宋_GB2312"/>
                <w:b/>
                <w:lang w:bidi="ar"/>
              </w:rPr>
              <w:t>抽检项目</w:t>
            </w:r>
          </w:p>
        </w:tc>
      </w:tr>
      <w:tr>
        <w:tblPrEx>
          <w:tblLayout w:type="fixed"/>
          <w:tblCellMar>
            <w:top w:w="15" w:type="dxa"/>
            <w:left w:w="15" w:type="dxa"/>
            <w:bottom w:w="15" w:type="dxa"/>
            <w:right w:w="15" w:type="dxa"/>
          </w:tblCellMar>
        </w:tblPrEx>
        <w:trPr>
          <w:trHeight w:val="23" w:hRule="atLeast"/>
          <w:tblHeader/>
          <w:jc w:val="center"/>
        </w:trPr>
        <w:tc>
          <w:tcPr>
            <w:tcW w:w="44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1</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粮食加工品</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其他粮食加工品</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谷物粉类制成品</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生湿面制品</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铅（以Pb计）、苯甲酸及其钠盐（以苯甲酸计）、山梨酸及其钾盐（以山梨酸计）、脱氢乙酸及其钠盐（以脱氢乙酸计）</w:t>
            </w:r>
          </w:p>
        </w:tc>
      </w:tr>
      <w:tr>
        <w:tblPrEx>
          <w:tblLayout w:type="fixed"/>
          <w:tblCellMar>
            <w:top w:w="15" w:type="dxa"/>
            <w:left w:w="15" w:type="dxa"/>
            <w:bottom w:w="15" w:type="dxa"/>
            <w:right w:w="15" w:type="dxa"/>
          </w:tblCellMar>
        </w:tblPrEx>
        <w:trPr>
          <w:trHeight w:val="23" w:hRule="atLeast"/>
          <w:tblHeader/>
          <w:jc w:val="center"/>
        </w:trPr>
        <w:tc>
          <w:tcPr>
            <w:tcW w:w="44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2</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粮食加工品</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其他粮食加工品</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谷物粉类制成品</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米粉制品</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苯甲酸及其钠盐（以苯甲酸计）、山梨酸及其钾盐（以山梨酸计）、脱氢乙酸及其钠盐（以脱氢乙酸计）、二氧化硫残留量、菌落总数、大肠菌群</w:t>
            </w:r>
          </w:p>
        </w:tc>
      </w:tr>
      <w:tr>
        <w:tblPrEx>
          <w:tblLayout w:type="fixed"/>
          <w:tblCellMar>
            <w:top w:w="15" w:type="dxa"/>
            <w:left w:w="15" w:type="dxa"/>
            <w:bottom w:w="15" w:type="dxa"/>
            <w:right w:w="15" w:type="dxa"/>
          </w:tblCellMar>
        </w:tblPrEx>
        <w:trPr>
          <w:trHeight w:val="23" w:hRule="atLeast"/>
          <w:tblHeader/>
          <w:jc w:val="center"/>
        </w:trPr>
        <w:tc>
          <w:tcPr>
            <w:tcW w:w="44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3</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粮食加工品</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其他粮食加工品</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谷物粉类制成品</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其他谷物粉类制成品</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黄曲霉毒素B1、苯甲酸及其钠盐（以苯甲酸计）、山梨酸及其钾盐（以山梨酸计）、菌落总数、大肠菌群</w:t>
            </w:r>
          </w:p>
        </w:tc>
      </w:tr>
      <w:tr>
        <w:tblPrEx>
          <w:tblLayout w:type="fixed"/>
          <w:tblCellMar>
            <w:top w:w="15" w:type="dxa"/>
            <w:left w:w="15" w:type="dxa"/>
            <w:bottom w:w="15" w:type="dxa"/>
            <w:right w:w="15" w:type="dxa"/>
          </w:tblCellMar>
        </w:tblPrEx>
        <w:trPr>
          <w:trHeight w:val="23" w:hRule="atLeast"/>
          <w:tblHeader/>
          <w:jc w:val="center"/>
        </w:trPr>
        <w:tc>
          <w:tcPr>
            <w:tcW w:w="44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仿宋_GB2312" w:eastAsia="仿宋_GB2312" w:cs="仿宋_GB2312"/>
                <w:lang w:bidi="ar"/>
              </w:rPr>
            </w:pPr>
            <w:r>
              <w:rPr>
                <w:rFonts w:hint="eastAsia" w:ascii="仿宋_GB2312" w:hAnsi="仿宋_GB2312" w:eastAsia="仿宋_GB2312" w:cs="仿宋_GB2312"/>
                <w:lang w:bidi="ar"/>
              </w:rPr>
              <w:t>4</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肉制品</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熟肉制品</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酱卤肉制品</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酱卤肉制品</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tc>
      </w:tr>
      <w:tr>
        <w:tblPrEx>
          <w:tblLayout w:type="fixed"/>
          <w:tblCellMar>
            <w:top w:w="15" w:type="dxa"/>
            <w:left w:w="15" w:type="dxa"/>
            <w:bottom w:w="15" w:type="dxa"/>
            <w:right w:w="15" w:type="dxa"/>
          </w:tblCellMar>
        </w:tblPrEx>
        <w:trPr>
          <w:trHeight w:val="23" w:hRule="atLeast"/>
          <w:tblHeader/>
          <w:jc w:val="center"/>
        </w:trPr>
        <w:tc>
          <w:tcPr>
            <w:tcW w:w="44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仿宋_GB2312" w:eastAsia="仿宋_GB2312" w:cs="仿宋_GB2312"/>
                <w:lang w:bidi="ar"/>
              </w:rPr>
            </w:pPr>
            <w:r>
              <w:rPr>
                <w:rFonts w:hint="eastAsia" w:ascii="仿宋_GB2312" w:hAnsi="仿宋_GB2312" w:eastAsia="仿宋_GB2312" w:cs="仿宋_GB2312"/>
                <w:lang w:bidi="ar"/>
              </w:rPr>
              <w:t>5</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肉制品</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熟肉制品</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熏烧烤肉制品</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rPr>
            </w:pPr>
            <w:r>
              <w:rPr>
                <w:rFonts w:hint="eastAsia" w:ascii="仿宋_GB2312" w:hAnsi="仿宋_GB2312" w:eastAsia="仿宋_GB2312" w:cs="仿宋_GB2312"/>
                <w:lang w:bidi="ar"/>
              </w:rPr>
              <w:t>熏烧烤肉制品</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苯并[a]芘、氯霉素、菌落总数、大肠菌群、单核细胞增生李斯特氏菌</w:t>
            </w:r>
          </w:p>
        </w:tc>
      </w:tr>
      <w:tr>
        <w:tblPrEx>
          <w:tblLayout w:type="fixed"/>
          <w:tblCellMar>
            <w:top w:w="15" w:type="dxa"/>
            <w:left w:w="15" w:type="dxa"/>
            <w:bottom w:w="15" w:type="dxa"/>
            <w:right w:w="15" w:type="dxa"/>
          </w:tblCellMar>
        </w:tblPrEx>
        <w:trPr>
          <w:trHeight w:val="23" w:hRule="atLeast"/>
          <w:tblHeader/>
          <w:jc w:val="center"/>
        </w:trPr>
        <w:tc>
          <w:tcPr>
            <w:tcW w:w="44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6</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肉制品</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预制肉制品</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调理肉制品</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调理肉制品（非速冻）</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铅（以Pb计）、氯霉素</w:t>
            </w:r>
          </w:p>
        </w:tc>
      </w:tr>
      <w:tr>
        <w:tblPrEx>
          <w:tblLayout w:type="fixed"/>
          <w:tblCellMar>
            <w:top w:w="15" w:type="dxa"/>
            <w:left w:w="15" w:type="dxa"/>
            <w:bottom w:w="15" w:type="dxa"/>
            <w:right w:w="15" w:type="dxa"/>
          </w:tblCellMar>
        </w:tblPrEx>
        <w:trPr>
          <w:trHeight w:val="23" w:hRule="atLeast"/>
          <w:tblHeader/>
          <w:jc w:val="center"/>
        </w:trPr>
        <w:tc>
          <w:tcPr>
            <w:tcW w:w="44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7</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酒类</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蒸馏酒</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白酒</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白酒、白酒（液态）、白酒（原酒）</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酒精度、甲醇、氰化物（以HCN计）、糖精钠（以糖精计）、甜蜜素（以环己基氨基磺酸计）、三氯蔗糖</w:t>
            </w:r>
          </w:p>
        </w:tc>
      </w:tr>
      <w:tr>
        <w:tblPrEx>
          <w:tblLayout w:type="fixed"/>
          <w:tblCellMar>
            <w:top w:w="15" w:type="dxa"/>
            <w:left w:w="15" w:type="dxa"/>
            <w:bottom w:w="15" w:type="dxa"/>
            <w:right w:w="15" w:type="dxa"/>
          </w:tblCellMar>
        </w:tblPrEx>
        <w:trPr>
          <w:trHeight w:val="23" w:hRule="atLeast"/>
          <w:tblHeader/>
          <w:jc w:val="center"/>
        </w:trPr>
        <w:tc>
          <w:tcPr>
            <w:tcW w:w="44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8</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糕点</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糕点</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糕点</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糕点</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仿宋_GB2312" w:eastAsia="仿宋_GB2312" w:cs="仿宋_GB2312"/>
                <w:lang w:bidi="ar"/>
              </w:rPr>
            </w:pPr>
            <w:r>
              <w:rPr>
                <w:rFonts w:hint="eastAsia" w:ascii="仿宋_GB2312" w:hAnsi="仿宋_GB2312" w:eastAsia="仿宋_GB2312" w:cs="仿宋_GB2312"/>
                <w:lang w:bidi="ar"/>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面包不检侧）、防腐剂各自用量占其最大使用量的比例之和、菌落总数、大肠菌群、金黄色葡萄球菌、沙门氏菌、霉菌</w:t>
            </w:r>
          </w:p>
        </w:tc>
      </w:tr>
    </w:tbl>
    <w:p>
      <w:pPr>
        <w:widowControl/>
        <w:adjustRightInd w:val="0"/>
        <w:snapToGrid w:val="0"/>
        <w:ind w:left="935" w:leftChars="101" w:hanging="723" w:hangingChars="300"/>
        <w:rPr>
          <w:rFonts w:hint="eastAsia" w:ascii="仿宋_GB2312" w:eastAsia="仿宋_GB2312"/>
          <w:b/>
          <w:bCs/>
          <w:color w:val="000000"/>
          <w:sz w:val="24"/>
        </w:rPr>
      </w:pPr>
      <w:r>
        <w:rPr>
          <w:rFonts w:hint="eastAsia" w:ascii="仿宋_GB2312" w:eastAsia="仿宋_GB2312"/>
          <w:b/>
          <w:bCs/>
          <w:color w:val="000000"/>
          <w:sz w:val="24"/>
        </w:rPr>
        <w:t>注：1.</w:t>
      </w:r>
      <w:r>
        <w:rPr>
          <w:rFonts w:hint="eastAsia" w:ascii="仿宋_GB2312" w:eastAsia="仿宋_GB2312"/>
          <w:b/>
          <w:bCs/>
          <w:spacing w:val="10"/>
          <w:sz w:val="24"/>
        </w:rPr>
        <w:t>具体食品检验项目的检测方法、检验要求及依据的法律法规或标准详见《国家食品安全监督抽检实施细则（2020年版）</w:t>
      </w:r>
      <w:r>
        <w:rPr>
          <w:rFonts w:hint="eastAsia" w:ascii="仿宋_GB2312" w:eastAsia="仿宋_GB2312"/>
          <w:b/>
          <w:bCs/>
          <w:color w:val="000000"/>
          <w:sz w:val="24"/>
        </w:rPr>
        <w:t>》；白酒和糕点如明示产品执行标准有方案中未列入的检验项目（感官、标签、净含量除外）需一并检测，按明示产品执行标准判定。</w:t>
      </w:r>
    </w:p>
    <w:p>
      <w:pPr>
        <w:widowControl/>
        <w:adjustRightInd w:val="0"/>
        <w:snapToGrid w:val="0"/>
        <w:ind w:firstLine="723" w:firstLineChars="300"/>
        <w:rPr>
          <w:rFonts w:hint="eastAsia" w:ascii="仿宋_GB2312" w:eastAsia="仿宋_GB2312"/>
          <w:b/>
          <w:bCs/>
          <w:color w:val="000000"/>
          <w:sz w:val="24"/>
        </w:rPr>
      </w:pPr>
      <w:r>
        <w:rPr>
          <w:rFonts w:hint="eastAsia" w:ascii="仿宋_GB2312" w:eastAsia="仿宋_GB2312"/>
          <w:b/>
          <w:bCs/>
          <w:color w:val="000000"/>
          <w:sz w:val="24"/>
        </w:rPr>
        <w:t>2.无包装食品不检测微生物项目。</w:t>
      </w:r>
    </w:p>
    <w:p>
      <w:pPr>
        <w:widowControl/>
        <w:adjustRightInd w:val="0"/>
        <w:snapToGrid w:val="0"/>
        <w:ind w:left="871" w:leftChars="300" w:hanging="241" w:hangingChars="100"/>
        <w:rPr>
          <w:rFonts w:hint="eastAsia" w:ascii="仿宋_GB2312" w:eastAsia="仿宋_GB2312"/>
          <w:b/>
          <w:bCs/>
          <w:color w:val="000000"/>
          <w:sz w:val="24"/>
        </w:rPr>
      </w:pPr>
      <w:r>
        <w:rPr>
          <w:rFonts w:hint="eastAsia" w:ascii="仿宋_GB2312" w:eastAsia="仿宋_GB2312"/>
          <w:b/>
          <w:bCs/>
          <w:color w:val="000000"/>
          <w:sz w:val="24"/>
        </w:rPr>
        <w:t>3.检验项目“防腐剂混合使用时各自用量占其最大使用量的比例之和”结果未超过1的，或者结果超过1的但是单项防腐剂不合格的，不在检验报告中出具该项目；结果超过1的，且单项防腐剂均符合标准要求的，在检验报告中出具该项目并判定。</w:t>
      </w:r>
    </w:p>
    <w:p>
      <w:pPr>
        <w:widowControl/>
        <w:adjustRightInd w:val="0"/>
        <w:snapToGrid w:val="0"/>
        <w:ind w:left="871" w:leftChars="300" w:hanging="241" w:hangingChars="100"/>
        <w:rPr>
          <w:rFonts w:hint="eastAsia" w:ascii="仿宋_GB2312" w:eastAsia="仿宋_GB2312"/>
          <w:b/>
          <w:bCs/>
          <w:color w:val="000000"/>
          <w:sz w:val="28"/>
          <w:szCs w:val="28"/>
        </w:rPr>
      </w:pPr>
      <w:r>
        <w:rPr>
          <w:rFonts w:hint="eastAsia" w:ascii="仿宋_GB2312" w:eastAsia="仿宋_GB2312"/>
          <w:b/>
          <w:bCs/>
          <w:color w:val="000000"/>
          <w:sz w:val="24"/>
        </w:rPr>
        <w:t>4.承检单位对本方案未列入的相关产品类型或检验项目，应依据相关产品的强制性国家标准、强制性的行业标准、政府法规，产品明示执行标准及明示质量要求向我局提出书面建议，经批准后进行检测</w:t>
      </w:r>
      <w:r>
        <w:rPr>
          <w:rFonts w:hint="eastAsia" w:ascii="仿宋_GB2312" w:eastAsia="仿宋_GB2312"/>
          <w:b/>
          <w:bCs/>
          <w:color w:val="000000"/>
          <w:sz w:val="28"/>
          <w:szCs w:val="28"/>
        </w:rPr>
        <w:t>。</w:t>
      </w:r>
    </w:p>
    <w:p>
      <w:pPr>
        <w:pStyle w:val="6"/>
        <w:numPr>
          <w:ilvl w:val="0"/>
          <w:numId w:val="1"/>
        </w:numPr>
        <w:spacing w:before="60" w:beforeLines="0" w:after="84" w:afterLines="0" w:line="640" w:lineRule="exact"/>
        <w:ind w:left="27" w:firstLine="643"/>
        <w:rPr>
          <w:rFonts w:hint="eastAsia" w:ascii="楷体_GB2312" w:hAnsi="楷体_GB2312" w:eastAsia="楷体_GB2312" w:cs="楷体_GB2312"/>
          <w:b/>
          <w:szCs w:val="32"/>
        </w:rPr>
      </w:pPr>
      <w:r>
        <w:rPr>
          <w:rFonts w:hint="eastAsia" w:ascii="楷体_GB2312" w:hAnsi="楷体_GB2312" w:eastAsia="楷体_GB2312" w:cs="楷体_GB2312"/>
          <w:b/>
          <w:szCs w:val="32"/>
        </w:rPr>
        <w:t>判定原则</w:t>
      </w:r>
    </w:p>
    <w:p>
      <w:pPr>
        <w:pStyle w:val="6"/>
        <w:spacing w:before="0" w:beforeLines="0" w:after="84" w:line="640" w:lineRule="exact"/>
        <w:ind w:left="27" w:firstLine="640"/>
        <w:rPr>
          <w:szCs w:val="32"/>
        </w:rPr>
      </w:pPr>
      <w:r>
        <w:rPr>
          <w:rFonts w:hint="eastAsia"/>
          <w:szCs w:val="32"/>
        </w:rPr>
        <w:t>原则上按照《国家食品安全监督抽检实施细则（2020年版）》中检验项目依据的法律法规或标准要求判定，若被检产品明示标准和质量要求高于该要求时，应按被检产品明示标准和质量要求判定。</w:t>
      </w:r>
    </w:p>
    <w:p>
      <w:pPr>
        <w:pStyle w:val="6"/>
        <w:spacing w:before="0" w:beforeLines="0" w:after="84" w:line="640" w:lineRule="exact"/>
        <w:ind w:firstLine="640"/>
        <w:rPr>
          <w:szCs w:val="32"/>
        </w:rPr>
      </w:pPr>
      <w:r>
        <w:rPr>
          <w:rFonts w:hint="eastAsia"/>
          <w:szCs w:val="32"/>
        </w:rPr>
        <w:t>检验报告中检验结论按如下方式做出判定：</w:t>
      </w:r>
    </w:p>
    <w:p>
      <w:pPr>
        <w:pStyle w:val="6"/>
        <w:spacing w:before="60" w:beforeLines="0" w:after="84" w:afterLines="0" w:line="640" w:lineRule="exact"/>
        <w:ind w:firstLine="640"/>
        <w:rPr>
          <w:szCs w:val="32"/>
        </w:rPr>
      </w:pPr>
      <w:r>
        <w:rPr>
          <w:rFonts w:hint="eastAsia"/>
          <w:szCs w:val="32"/>
        </w:rPr>
        <w:t>1.检验项目全部符合相应依据的法律法规或标准要求的，检验结论为：“</w:t>
      </w:r>
      <w:r>
        <w:rPr>
          <w:szCs w:val="32"/>
        </w:rPr>
        <w:t>经抽样检验，所检项目符合</w:t>
      </w:r>
      <w:r>
        <w:rPr>
          <w:rFonts w:hint="eastAsia"/>
          <w:szCs w:val="32"/>
        </w:rPr>
        <w:t>××××</w:t>
      </w:r>
      <w:r>
        <w:rPr>
          <w:szCs w:val="32"/>
        </w:rPr>
        <w:t>要求</w:t>
      </w:r>
      <w:r>
        <w:rPr>
          <w:rFonts w:hint="eastAsia"/>
          <w:szCs w:val="32"/>
        </w:rPr>
        <w:t>。”</w:t>
      </w:r>
    </w:p>
    <w:p>
      <w:pPr>
        <w:pStyle w:val="6"/>
        <w:spacing w:before="0" w:beforeLines="0" w:after="84" w:line="640" w:lineRule="exact"/>
        <w:ind w:firstLine="640"/>
        <w:rPr>
          <w:szCs w:val="32"/>
        </w:rPr>
      </w:pPr>
      <w:r>
        <w:rPr>
          <w:rFonts w:hint="eastAsia"/>
          <w:szCs w:val="32"/>
        </w:rPr>
        <w:t>2.检验项目有不符合相应依据的法律法规或标准要求的，检验结论为：“经抽样检验，××项目不符合××××要求，检验结论为不合格。”</w:t>
      </w:r>
    </w:p>
    <w:p>
      <w:pPr>
        <w:pStyle w:val="6"/>
        <w:spacing w:before="0" w:beforeLines="0" w:after="84" w:line="640" w:lineRule="exact"/>
        <w:ind w:left="27" w:firstLine="643"/>
        <w:rPr>
          <w:rFonts w:hint="eastAsia" w:ascii="楷体_GB2312" w:hAnsi="楷体_GB2312" w:eastAsia="楷体_GB2312" w:cs="楷体_GB2312"/>
          <w:b/>
          <w:szCs w:val="32"/>
        </w:rPr>
      </w:pPr>
      <w:r>
        <w:rPr>
          <w:rFonts w:hint="eastAsia" w:ascii="楷体_GB2312" w:hAnsi="楷体_GB2312" w:eastAsia="楷体_GB2312" w:cs="楷体_GB2312"/>
          <w:b/>
          <w:szCs w:val="32"/>
        </w:rPr>
        <w:t>（三）检验结果</w:t>
      </w:r>
    </w:p>
    <w:p>
      <w:pPr>
        <w:pStyle w:val="6"/>
        <w:spacing w:before="0" w:beforeLines="0" w:after="84" w:line="640" w:lineRule="exact"/>
        <w:ind w:left="27" w:firstLine="640"/>
        <w:rPr>
          <w:b/>
          <w:szCs w:val="32"/>
        </w:rPr>
      </w:pPr>
      <w:r>
        <w:rPr>
          <w:rFonts w:hint="eastAsia"/>
          <w:szCs w:val="32"/>
        </w:rPr>
        <w:t>承检单位应严格按照检测工作规范开展检测工作，及时向深圳市市场监督管理局出具《检验报告》，同时将不合格产品的《检验报告》与</w:t>
      </w:r>
      <w:r>
        <w:rPr>
          <w:rFonts w:hint="eastAsia" w:hAnsi="宋体"/>
          <w:szCs w:val="32"/>
        </w:rPr>
        <w:t>《抽样检验不合格产品结果通知书》</w:t>
      </w:r>
      <w:r>
        <w:rPr>
          <w:rFonts w:hint="eastAsia"/>
          <w:szCs w:val="32"/>
        </w:rPr>
        <w:t>根据抽检作业指导书要求予以邮寄。</w:t>
      </w:r>
    </w:p>
    <w:p>
      <w:pPr>
        <w:pStyle w:val="6"/>
        <w:spacing w:before="0" w:beforeLines="0" w:after="84" w:line="640" w:lineRule="exact"/>
        <w:ind w:left="27" w:firstLine="643"/>
        <w:rPr>
          <w:rFonts w:hint="eastAsia" w:ascii="楷体_GB2312" w:hAnsi="楷体_GB2312" w:eastAsia="楷体_GB2312" w:cs="楷体_GB2312"/>
          <w:b/>
          <w:szCs w:val="32"/>
        </w:rPr>
      </w:pPr>
      <w:r>
        <w:rPr>
          <w:rFonts w:hint="eastAsia" w:ascii="楷体_GB2312" w:hAnsi="楷体_GB2312" w:eastAsia="楷体_GB2312" w:cs="楷体_GB2312"/>
          <w:b/>
          <w:szCs w:val="32"/>
        </w:rPr>
        <w:t>（四）总结汇总</w:t>
      </w:r>
    </w:p>
    <w:p>
      <w:pPr>
        <w:pStyle w:val="6"/>
        <w:spacing w:before="0" w:beforeLines="0" w:after="84" w:line="640" w:lineRule="exact"/>
        <w:ind w:left="27" w:firstLine="640"/>
        <w:rPr>
          <w:szCs w:val="32"/>
        </w:rPr>
      </w:pPr>
      <w:r>
        <w:rPr>
          <w:rFonts w:hint="eastAsia"/>
          <w:szCs w:val="32"/>
        </w:rPr>
        <w:t>承检单位对本次检验总体情况进行书面汇总，分析原因，提出改进建议报深圳市市场监督管理局。</w:t>
      </w:r>
    </w:p>
    <w:p>
      <w:pPr>
        <w:pStyle w:val="6"/>
        <w:spacing w:before="0" w:beforeLines="0" w:after="84" w:line="640" w:lineRule="exact"/>
        <w:ind w:left="27" w:firstLine="643"/>
        <w:rPr>
          <w:rFonts w:hint="eastAsia" w:ascii="楷体_GB2312" w:hAnsi="楷体_GB2312" w:eastAsia="楷体_GB2312" w:cs="楷体_GB2312"/>
          <w:b/>
          <w:szCs w:val="32"/>
        </w:rPr>
      </w:pPr>
      <w:r>
        <w:rPr>
          <w:rFonts w:hint="eastAsia" w:ascii="楷体_GB2312" w:hAnsi="楷体_GB2312" w:eastAsia="楷体_GB2312" w:cs="楷体_GB2312"/>
          <w:b/>
          <w:szCs w:val="32"/>
        </w:rPr>
        <w:t>（五）样品处理</w:t>
      </w:r>
    </w:p>
    <w:p>
      <w:pPr>
        <w:adjustRightInd w:val="0"/>
        <w:snapToGrid w:val="0"/>
        <w:spacing w:line="640" w:lineRule="exact"/>
        <w:ind w:left="27" w:firstLine="640" w:firstLineChars="200"/>
        <w:rPr>
          <w:rFonts w:ascii="仿宋_GB2312" w:hAnsi="宋体" w:eastAsia="仿宋_GB2312"/>
          <w:sz w:val="32"/>
          <w:szCs w:val="32"/>
        </w:rPr>
      </w:pPr>
      <w:r>
        <w:rPr>
          <w:rFonts w:hint="eastAsia" w:ascii="仿宋_GB2312" w:hAnsi="宋体" w:eastAsia="仿宋_GB2312"/>
          <w:sz w:val="32"/>
          <w:szCs w:val="32"/>
        </w:rPr>
        <w:t>承检单位保管的食品样品按深圳市财政委员会《关于食品抽样检验工作中样品处理问题的复函》（深财行函</w:t>
      </w:r>
      <w:r>
        <w:rPr>
          <w:rFonts w:hint="eastAsia" w:ascii="仿宋_GB2312" w:hAnsi="仿宋" w:eastAsia="仿宋_GB2312"/>
          <w:sz w:val="32"/>
          <w:szCs w:val="32"/>
        </w:rPr>
        <w:t>〔2010〕</w:t>
      </w:r>
      <w:r>
        <w:rPr>
          <w:rFonts w:hint="eastAsia" w:ascii="仿宋_GB2312" w:hAnsi="宋体" w:eastAsia="仿宋_GB2312"/>
          <w:sz w:val="32"/>
          <w:szCs w:val="32"/>
        </w:rPr>
        <w:t>1475号）、《关于进一步明确食品抽样检验样品处理有关问题的意见》（深财行函</w:t>
      </w:r>
      <w:r>
        <w:rPr>
          <w:rFonts w:hint="eastAsia" w:ascii="仿宋_GB2312" w:hAnsi="仿宋" w:eastAsia="仿宋_GB2312"/>
          <w:sz w:val="32"/>
          <w:szCs w:val="32"/>
        </w:rPr>
        <w:t>〔2012〕</w:t>
      </w:r>
      <w:r>
        <w:rPr>
          <w:rFonts w:hint="eastAsia" w:ascii="仿宋_GB2312" w:hAnsi="宋体" w:eastAsia="仿宋_GB2312"/>
          <w:sz w:val="32"/>
          <w:szCs w:val="32"/>
        </w:rPr>
        <w:t>617号）要求处理。</w:t>
      </w:r>
    </w:p>
    <w:p>
      <w:pPr>
        <w:pStyle w:val="6"/>
        <w:spacing w:before="0" w:beforeLines="0" w:after="84" w:line="640" w:lineRule="exact"/>
        <w:ind w:left="28" w:firstLine="640"/>
        <w:rPr>
          <w:rFonts w:ascii="黑体" w:hAnsi="黑体" w:eastAsia="黑体" w:cs="黑体"/>
          <w:bCs w:val="0"/>
          <w:szCs w:val="32"/>
        </w:rPr>
      </w:pPr>
      <w:r>
        <w:rPr>
          <w:rFonts w:hint="eastAsia" w:ascii="黑体" w:hAnsi="黑体" w:eastAsia="黑体" w:cs="黑体"/>
          <w:bCs w:val="0"/>
          <w:szCs w:val="32"/>
        </w:rPr>
        <w:t>七、抽检工作规定</w:t>
      </w:r>
    </w:p>
    <w:p>
      <w:pPr>
        <w:pStyle w:val="6"/>
        <w:spacing w:beforeLines="0" w:afterLines="0" w:line="640" w:lineRule="exact"/>
        <w:ind w:firstLine="627" w:firstLineChars="196"/>
        <w:rPr>
          <w:rFonts w:hAnsi="仿宋_GB2312" w:cs="仿宋_GB2312"/>
          <w:szCs w:val="32"/>
        </w:rPr>
      </w:pPr>
      <w:r>
        <w:rPr>
          <w:rFonts w:hint="eastAsia" w:hAnsi="仿宋_GB2312" w:cs="仿宋_GB2312"/>
          <w:szCs w:val="32"/>
        </w:rPr>
        <w:t>（一）承检单位应当具有相应的检验资质，未经深圳市市场监督管理局同意，不得开展未获得相应资质的检验工作。</w:t>
      </w:r>
    </w:p>
    <w:p>
      <w:pPr>
        <w:pStyle w:val="6"/>
        <w:spacing w:beforeLines="0" w:afterLines="0" w:line="640" w:lineRule="exact"/>
        <w:ind w:firstLine="627" w:firstLineChars="196"/>
        <w:rPr>
          <w:rFonts w:hAnsi="仿宋_GB2312" w:cs="仿宋_GB2312"/>
          <w:szCs w:val="32"/>
        </w:rPr>
      </w:pPr>
      <w:r>
        <w:rPr>
          <w:rFonts w:hint="eastAsia" w:hAnsi="仿宋_GB2312" w:cs="仿宋_GB2312"/>
          <w:szCs w:val="32"/>
        </w:rPr>
        <w:t>（二）承检机构应按照有关法律、法规的规定，并依照食品安全标准和检验规范对样品进行检验，尊重科学，恪守职业道德，保证出具的检验数据和结论客观、公正，不得出具虚假的检验报告。</w:t>
      </w:r>
    </w:p>
    <w:p>
      <w:pPr>
        <w:pStyle w:val="6"/>
        <w:spacing w:beforeLines="0" w:afterLines="0" w:line="640" w:lineRule="exact"/>
        <w:ind w:firstLine="627" w:firstLineChars="196"/>
        <w:rPr>
          <w:rFonts w:hAnsi="仿宋_GB2312" w:cs="仿宋_GB2312"/>
          <w:szCs w:val="32"/>
        </w:rPr>
      </w:pPr>
      <w:r>
        <w:rPr>
          <w:rFonts w:hint="eastAsia" w:hAnsi="仿宋_GB2312" w:cs="仿宋_GB2312"/>
          <w:szCs w:val="32"/>
        </w:rPr>
        <w:t>如承检机构、食品检验人员出具虚假检验报告的，深圳市市场监督管理局将通报授予该检验机构资质的主管部门或机构。</w:t>
      </w:r>
    </w:p>
    <w:p>
      <w:pPr>
        <w:pStyle w:val="6"/>
        <w:spacing w:beforeLines="0" w:afterLines="0" w:line="640" w:lineRule="exact"/>
        <w:ind w:firstLine="627" w:firstLineChars="196"/>
        <w:rPr>
          <w:rFonts w:hAnsi="仿宋_GB2312" w:cs="仿宋_GB2312"/>
          <w:szCs w:val="32"/>
        </w:rPr>
      </w:pPr>
      <w:r>
        <w:rPr>
          <w:rFonts w:hint="eastAsia" w:hAnsi="仿宋_GB2312" w:cs="仿宋_GB2312"/>
          <w:szCs w:val="32"/>
        </w:rPr>
        <w:t>（三）未经深圳市市场监督管理局同意，检验机构不得分包、转包检验任务，不得租赁或借用他人检测设备。</w:t>
      </w:r>
    </w:p>
    <w:p>
      <w:pPr>
        <w:pStyle w:val="6"/>
        <w:spacing w:beforeLines="0" w:afterLines="0" w:line="640" w:lineRule="exact"/>
        <w:ind w:firstLine="627" w:firstLineChars="196"/>
        <w:rPr>
          <w:rFonts w:hAnsi="仿宋_GB2312" w:cs="仿宋_GB2312"/>
          <w:szCs w:val="32"/>
        </w:rPr>
      </w:pPr>
      <w:r>
        <w:rPr>
          <w:rFonts w:hint="eastAsia" w:hAnsi="仿宋_GB2312" w:cs="仿宋_GB2312"/>
          <w:szCs w:val="32"/>
        </w:rPr>
        <w:t>（四）承检单位应对检验情况予以保密，检验前以及检验过程中不得泄露任何有关检验及样品检验的信息；对于检验结果和检验情况只能向深圳市市场监督管理局报告，不得向任何第三方透露。</w:t>
      </w:r>
    </w:p>
    <w:p>
      <w:pPr>
        <w:pStyle w:val="6"/>
        <w:spacing w:beforeLines="0" w:afterLines="0" w:line="640" w:lineRule="exact"/>
        <w:ind w:firstLine="627" w:firstLineChars="196"/>
        <w:rPr>
          <w:rFonts w:hAnsi="仿宋_GB2312" w:cs="仿宋_GB2312"/>
          <w:szCs w:val="32"/>
        </w:rPr>
      </w:pPr>
      <w:r>
        <w:rPr>
          <w:rFonts w:hint="eastAsia" w:hAnsi="仿宋_GB2312" w:cs="仿宋_GB2312"/>
          <w:szCs w:val="32"/>
        </w:rPr>
        <w:t>（五）承检单位在检验过程中发现致病菌、非法添加物、非食用物质等食品安全问题的，应立即通知深圳市市场稽查局。</w:t>
      </w:r>
    </w:p>
    <w:p>
      <w:pPr>
        <w:pStyle w:val="6"/>
        <w:spacing w:beforeLines="0" w:afterLines="0" w:line="640" w:lineRule="exact"/>
        <w:ind w:firstLine="627" w:firstLineChars="196"/>
        <w:rPr>
          <w:rFonts w:hAnsi="仿宋_GB2312" w:cs="仿宋_GB2312"/>
          <w:szCs w:val="32"/>
        </w:rPr>
      </w:pPr>
      <w:r>
        <w:rPr>
          <w:rFonts w:hint="eastAsia" w:hAnsi="仿宋_GB2312" w:cs="仿宋_GB2312"/>
          <w:szCs w:val="32"/>
        </w:rPr>
        <w:t>（六）承检抽样工作中应当购买样品，抽样人员不得向受检单位收取检验费和其它任何费用，不得虚报购样费，如有虚报，查实后从承检机构抽检费中扣除，触犯刑法时移送公安机关。</w:t>
      </w:r>
    </w:p>
    <w:p>
      <w:pPr>
        <w:wordWrap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（七）根据</w:t>
      </w:r>
      <w:r>
        <w:rPr>
          <w:rFonts w:hint="eastAsia" w:ascii="仿宋_GB2312" w:hAnsi="仿宋_GB2312" w:eastAsia="仿宋_GB2312" w:cs="仿宋_GB2312"/>
          <w:sz w:val="32"/>
          <w:szCs w:val="32"/>
          <w:shd w:val="clear" w:color="auto" w:fill="FFFFFF"/>
        </w:rPr>
        <w:t>《深圳经济特区食品安全监督条例》</w:t>
      </w:r>
      <w:r>
        <w:rPr>
          <w:rFonts w:hint="eastAsia" w:ascii="仿宋_GB2312" w:hAnsi="仿宋_GB2312" w:eastAsia="仿宋_GB2312" w:cs="仿宋_GB2312"/>
          <w:sz w:val="32"/>
          <w:szCs w:val="32"/>
        </w:rPr>
        <w:t>第一百零六条规定，食品检验机构有下列情形之一的，除依法予以处罚外，食品药品监督管理部门应当向社会公布其违法行为，五年内不得委托其承担抽样检验任务：</w:t>
      </w:r>
    </w:p>
    <w:p>
      <w:pPr>
        <w:wordWrap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1.非法更换样品、伪造检验数据或者出具虚假检验报告；</w:t>
      </w:r>
    </w:p>
    <w:p>
      <w:pPr>
        <w:wordWrap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2.利用抽样检验工作的便利牟取不正当利益；</w:t>
      </w:r>
    </w:p>
    <w:p>
      <w:pPr>
        <w:wordWrap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3.违反规定事先通知被抽样检验食品生产经营者；</w:t>
      </w:r>
    </w:p>
    <w:p>
      <w:pPr>
        <w:wordWrap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4.无正当理由未按规定的时限或者程序报告检验结论；</w:t>
      </w:r>
    </w:p>
    <w:p>
      <w:pPr>
        <w:pStyle w:val="6"/>
        <w:spacing w:beforeLines="0" w:afterLines="0" w:line="640" w:lineRule="exact"/>
        <w:ind w:firstLine="640"/>
        <w:rPr>
          <w:rFonts w:hAnsi="仿宋_GB2312" w:cs="仿宋_GB2312"/>
          <w:szCs w:val="32"/>
        </w:rPr>
      </w:pPr>
      <w:r>
        <w:rPr>
          <w:rFonts w:hint="eastAsia" w:hAnsi="仿宋_GB2312" w:cs="仿宋_GB2312"/>
          <w:szCs w:val="32"/>
        </w:rPr>
        <w:t>5.有其他严重违法行为。</w:t>
      </w:r>
    </w:p>
    <w:p/>
    <w:p>
      <w:pPr>
        <w:pStyle w:val="6"/>
        <w:spacing w:before="0" w:beforeLines="0" w:after="84" w:line="640" w:lineRule="exact"/>
        <w:ind w:left="27" w:firstLine="560"/>
        <w:rPr>
          <w:color w:val="000000"/>
          <w:sz w:val="28"/>
          <w:szCs w:val="28"/>
        </w:rPr>
      </w:pPr>
    </w:p>
    <w:p/>
    <w:p/>
    <w:sectPr>
      <w:headerReference r:id="rId3" w:type="default"/>
      <w:footerReference r:id="rId4" w:type="default"/>
      <w:footerReference r:id="rId5" w:type="even"/>
      <w:pgSz w:w="11907" w:h="16840"/>
      <w:pgMar w:top="1588" w:right="1474" w:bottom="1402" w:left="1474" w:header="851" w:footer="851"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3</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605C6"/>
    <w:multiLevelType w:val="singleLevel"/>
    <w:tmpl w:val="4D1605C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61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before="50" w:beforeLines="0" w:after="120" w:afterLines="0" w:line="240" w:lineRule="exact"/>
      <w:ind w:firstLine="480" w:firstLineChars="200"/>
    </w:pPr>
    <w:rPr>
      <w:sz w:val="24"/>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公文"/>
    <w:basedOn w:val="1"/>
    <w:qFormat/>
    <w:uiPriority w:val="0"/>
    <w:pPr>
      <w:adjustRightInd w:val="0"/>
      <w:snapToGrid w:val="0"/>
      <w:spacing w:before="78" w:beforeLines="25" w:after="109" w:afterLines="35"/>
      <w:ind w:firstLine="200" w:firstLineChars="200"/>
    </w:pPr>
    <w:rPr>
      <w:rFonts w:ascii="仿宋_GB2312" w:eastAsia="仿宋_GB2312"/>
      <w:bCs/>
      <w:sz w:val="32"/>
    </w:r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shangjun</dc:creator>
  <cp:lastModifiedBy>尚军</cp:lastModifiedBy>
  <dcterms:modified xsi:type="dcterms:W3CDTF">2021-01-15T09:16:49Z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