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（一）水分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《食品安全国家标准 食用菌及其制品》（GB 7096-</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过氧化值（以脂肪计）主要反映食品中油脂是否氧化变质。随着油脂氧化，过氧化值会逐步升高，虽一般不会对人体的健康产生损害，但严重时会导致肠胃不适、腹泻等症状。《食品安全国家标准 饼干》（GB 7100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2015）中规定，饼干中的过氧化值（以脂肪计）的最大限量值为0.25g/100g。过氧化值超标的原因，可能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（三）</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《绿色食品 淀粉及淀粉制品》（NY/T 1039-2014）中规定,淀粉制品中铝的残留量(干样品，以Al计)不得检出（</w:t>
      </w:r>
      <w:r>
        <w:rPr>
          <w:rFonts w:hint="eastAsia" w:ascii="仿宋_GB2312" w:hAnsi="仿宋" w:eastAsia="仿宋_GB2312"/>
          <w:sz w:val="32"/>
          <w:szCs w:val="32"/>
          <w:lang w:val="en-US" w:eastAsia="zh-CN"/>
        </w:rPr>
        <w:t>＜</w:t>
      </w:r>
      <w:r>
        <w:rPr>
          <w:rFonts w:hint="eastAsia" w:ascii="仿宋_GB2312" w:hAnsi="仿宋" w:eastAsia="仿宋_GB2312"/>
          <w:sz w:val="32"/>
          <w:szCs w:val="32"/>
        </w:rPr>
        <w:t>25 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四</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多西</w:t>
      </w:r>
      <w:r>
        <w:rPr>
          <w:rFonts w:ascii="楷体_GB2312" w:hAnsi="宋体" w:eastAsia="楷体_GB2312" w:cs="宋体"/>
          <w:b/>
          <w:kern w:val="0"/>
          <w:sz w:val="32"/>
          <w:szCs w:val="32"/>
        </w:rPr>
        <w:t>环素（强力霉素）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480" w:firstLineChars="200"/>
        <w:textAlignment w:val="auto"/>
        <w:rPr>
          <w:rFonts w:hint="eastAsia" w:ascii="仿宋_GB2312" w:hAnsi="仿宋" w:eastAsia="仿宋_GB2312" w:cs="仿宋"/>
          <w:kern w:val="2"/>
          <w:sz w:val="32"/>
          <w:szCs w:val="32"/>
          <w:lang w:val="en-US" w:eastAsia="zh-CN" w:bidi="ar-SA"/>
        </w:rPr>
      </w:pPr>
      <w:r>
        <w:rPr>
          <w:rFonts w:ascii="宋体" w:hAnsi="宋体" w:cs="宋体"/>
          <w:kern w:val="0"/>
          <w:sz w:val="24"/>
          <w:szCs w:val="24"/>
        </w:rPr>
        <w:t> </w:t>
      </w:r>
      <w:r>
        <w:rPr>
          <w:rFonts w:hint="eastAsia" w:ascii="仿宋_GB2312" w:hAnsi="仿宋" w:eastAsia="仿宋_GB2312" w:cs="仿宋"/>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）脱氢乙酸及其钠盐</w:t>
      </w:r>
    </w:p>
    <w:p>
      <w:pPr>
        <w:spacing w:line="560" w:lineRule="exact"/>
        <w:ind w:firstLine="640" w:firstLineChars="200"/>
        <w:rPr>
          <w:rFonts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米粉</w:t>
      </w:r>
      <w:r>
        <w:rPr>
          <w:rFonts w:hint="eastAsia" w:ascii="仿宋_GB2312" w:hAnsi="仿宋" w:eastAsia="仿宋_GB2312"/>
          <w:color w:val="auto"/>
          <w:sz w:val="32"/>
          <w:szCs w:val="32"/>
        </w:rPr>
        <w:t>制品中不得使用脱氢乙酸及其钠盐。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w:t>
      </w:r>
      <w:r>
        <w:rPr>
          <w:rFonts w:hint="eastAsia" w:ascii="仿宋_GB2312" w:hAnsi="仿宋" w:eastAsia="仿宋_GB2312" w:cs="宋体"/>
          <w:kern w:val="0"/>
          <w:sz w:val="32"/>
          <w:szCs w:val="32"/>
          <w:lang w:val="zh-CN"/>
        </w:rPr>
        <w:t>过量食用脱氢乙酸含量超标的食品可能会引起肝、肾和中枢神经系统的损伤。</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（六）氧乐果</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氧乐果是一种内吸性强，杀虫活性高的杀虫剂。《食品安全国家标准 食品中农药最大残留限量》（GB 2763-2019）中规定</w:t>
      </w:r>
      <w:r>
        <w:rPr>
          <w:rFonts w:hint="eastAsia" w:ascii="仿宋_GB2312" w:hAnsi="仿宋" w:eastAsia="仿宋_GB2312"/>
          <w:color w:val="auto"/>
          <w:sz w:val="32"/>
          <w:szCs w:val="32"/>
        </w:rPr>
        <w:t>，</w:t>
      </w:r>
      <w:r>
        <w:rPr>
          <w:rFonts w:hint="eastAsia" w:ascii="仿宋_GB2312" w:hAnsi="仿宋"/>
          <w:color w:val="auto"/>
          <w:sz w:val="32"/>
          <w:szCs w:val="32"/>
          <w:lang w:eastAsia="zh-CN"/>
        </w:rPr>
        <w:t>茄果类</w:t>
      </w:r>
      <w:r>
        <w:rPr>
          <w:rFonts w:hint="eastAsia" w:ascii="仿宋_GB2312" w:hAnsi="仿宋" w:eastAsia="仿宋_GB2312"/>
          <w:color w:val="auto"/>
          <w:sz w:val="32"/>
          <w:szCs w:val="32"/>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w:t>
      </w:r>
      <w:r>
        <w:rPr>
          <w:rFonts w:hint="eastAsia" w:ascii="仿宋_GB2312" w:hAnsi="仿宋" w:eastAsia="仿宋_GB2312"/>
          <w:sz w:val="32"/>
          <w:szCs w:val="32"/>
        </w:rPr>
        <w:t>对人体造成各种急慢性毒性，甚至致癌致突变。</w:t>
      </w:r>
    </w:p>
    <w:p>
      <w:pPr>
        <w:spacing w:line="560" w:lineRule="exact"/>
        <w:ind w:firstLine="643"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七</w:t>
      </w:r>
      <w:r>
        <w:rPr>
          <w:rFonts w:hint="eastAsia" w:ascii="楷体_GB2312" w:hAnsi="楷体" w:eastAsia="楷体_GB2312" w:cs="楷体"/>
          <w:b/>
          <w:bCs/>
          <w:sz w:val="32"/>
          <w:szCs w:val="32"/>
          <w:shd w:val="clear" w:color="auto" w:fill="FFFFFF"/>
        </w:rPr>
        <w:t>）4-氯苯氧乙酸钠</w:t>
      </w:r>
    </w:p>
    <w:p>
      <w:pPr>
        <w:spacing w:line="560" w:lineRule="exact"/>
        <w:ind w:firstLine="645"/>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w:t>
      </w:r>
      <w:r>
        <w:rPr>
          <w:rFonts w:hint="eastAsia" w:ascii="仿宋_GB2312" w:hAnsi="仿宋" w:eastAsia="仿宋_GB2312" w:cs="Arial"/>
          <w:color w:val="auto"/>
          <w:sz w:val="32"/>
          <w:szCs w:val="32"/>
          <w:shd w:val="clear" w:color="auto" w:fill="FFFFFF"/>
        </w:rPr>
        <w:t>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w:t>
      </w:r>
      <w:r>
        <w:rPr>
          <w:rFonts w:hint="eastAsia" w:ascii="仿宋_GB2312" w:hAnsi="仿宋" w:eastAsia="仿宋_GB2312"/>
          <w:sz w:val="32"/>
          <w:szCs w:val="32"/>
        </w:rPr>
        <w:t>中禁止使用 6-苄基腺嘌呤 等物质的公告》</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豆芽中不得检出4-氯苯氧乙酸。豆芽作为一种食用量非常大的蔬菜，4-氯苯氧乙酸钠的残留在人体内的累积所产生的有害作用不容忽视。</w:t>
      </w:r>
    </w:p>
    <w:p>
      <w:pPr>
        <w:spacing w:line="560" w:lineRule="exact"/>
        <w:ind w:firstLine="643" w:firstLineChars="200"/>
        <w:rPr>
          <w:rFonts w:hint="eastAsia"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八</w:t>
      </w:r>
      <w:r>
        <w:rPr>
          <w:rFonts w:hint="eastAsia" w:ascii="楷体_GB2312" w:hAnsi="楷体" w:eastAsia="楷体_GB2312" w:cs="楷体"/>
          <w:b/>
          <w:bCs/>
          <w:sz w:val="32"/>
          <w:szCs w:val="32"/>
          <w:shd w:val="clear" w:color="auto" w:fill="FFFFFF"/>
        </w:rPr>
        <w:t>）6-苄基腺嘌呤</w:t>
      </w:r>
    </w:p>
    <w:p>
      <w:pPr>
        <w:pStyle w:val="8"/>
        <w:shd w:val="clear" w:color="auto" w:fill="FFFFFF"/>
        <w:spacing w:before="0" w:beforeAutospacing="0" w:after="0" w:afterAutospacing="0" w:line="560" w:lineRule="exact"/>
        <w:ind w:firstLine="704" w:firstLineChars="2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6-苄基腺嘌呤是</w:t>
      </w:r>
      <w:r>
        <w:rPr>
          <w:rFonts w:ascii="仿宋_GB2312" w:hAnsi="仿宋" w:eastAsia="仿宋_GB2312" w:cs="Arial"/>
          <w:sz w:val="32"/>
          <w:szCs w:val="32"/>
          <w:shd w:val="clear" w:color="auto" w:fill="FFFFFF"/>
        </w:rPr>
        <w:t>一种广泛使用的添加于植物生长培养基的细胞分裂素。具有抑制植物叶内叶绿素、核酸、蛋白质的分解，保绿防老;将</w:t>
      </w:r>
      <w:r>
        <w:fldChar w:fldCharType="begin"/>
      </w:r>
      <w:r>
        <w:instrText xml:space="preserve"> HYPERLINK "https://baike.so.com/doc/914377-966548.html" \t "_blank" </w:instrText>
      </w:r>
      <w:r>
        <w:fldChar w:fldCharType="separate"/>
      </w:r>
      <w:r>
        <w:rPr>
          <w:rFonts w:ascii="仿宋_GB2312" w:hAnsi="仿宋" w:eastAsia="仿宋_GB2312"/>
          <w:sz w:val="32"/>
          <w:szCs w:val="32"/>
        </w:rPr>
        <w:t>氨基酸</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w:t>
      </w:r>
      <w:r>
        <w:fldChar w:fldCharType="begin"/>
      </w:r>
      <w:r>
        <w:instrText xml:space="preserve"> HYPERLINK "https://baike.so.com/doc/626543-663171.html" \t "_blank" </w:instrText>
      </w:r>
      <w:r>
        <w:fldChar w:fldCharType="separate"/>
      </w:r>
      <w:r>
        <w:rPr>
          <w:rFonts w:ascii="仿宋_GB2312" w:hAnsi="仿宋" w:eastAsia="仿宋_GB2312"/>
          <w:sz w:val="32"/>
          <w:szCs w:val="32"/>
        </w:rPr>
        <w:t>生长素</w:t>
      </w:r>
      <w:r>
        <w:rPr>
          <w:rFonts w:ascii="仿宋_GB2312" w:hAnsi="仿宋" w:eastAsia="仿宋_GB2312"/>
          <w:sz w:val="32"/>
          <w:szCs w:val="32"/>
        </w:rPr>
        <w:fldChar w:fldCharType="end"/>
      </w:r>
      <w:r>
        <w:rPr>
          <w:rFonts w:ascii="仿宋_GB2312" w:hAnsi="仿宋" w:eastAsia="仿宋_GB2312" w:cs="Arial"/>
          <w:sz w:val="32"/>
          <w:szCs w:val="32"/>
          <w:shd w:val="clear" w:color="auto" w:fill="FFFFFF"/>
        </w:rPr>
        <w:t>、无机盐等向处理部位调运等多种效能，广泛用在农业、果树和园艺作物从发芽到收获的各个阶段</w:t>
      </w:r>
      <w:r>
        <w:rPr>
          <w:rFonts w:hint="eastAsia" w:ascii="仿宋_GB2312" w:hAnsi="仿宋" w:eastAsia="仿宋_GB2312" w:cs="Arial"/>
          <w:sz w:val="32"/>
          <w:szCs w:val="32"/>
          <w:shd w:val="clear" w:color="auto" w:fill="FFFFFF"/>
        </w:rPr>
        <w:t>。</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sz w:val="32"/>
          <w:szCs w:val="32"/>
          <w:lang w:val="zh-CN"/>
        </w:rPr>
        <w:t>)</w:t>
      </w:r>
      <w:r>
        <w:rPr>
          <w:rFonts w:hint="eastAsia" w:ascii="仿宋_GB2312" w:hAnsi="仿宋" w:eastAsia="仿宋_GB2312"/>
          <w:sz w:val="32"/>
          <w:szCs w:val="32"/>
        </w:rPr>
        <w:t>中要求，</w:t>
      </w:r>
      <w:r>
        <w:rPr>
          <w:rFonts w:hint="eastAsia" w:ascii="仿宋_GB2312" w:hAnsi="仿宋" w:eastAsia="仿宋_GB2312" w:cs="Arial"/>
          <w:sz w:val="32"/>
          <w:szCs w:val="32"/>
          <w:shd w:val="clear" w:color="auto" w:fill="FFFFFF"/>
        </w:rPr>
        <w:t>豆芽中不得检出6-苄基腺嘌呤。</w:t>
      </w:r>
      <w:r>
        <w:rPr>
          <w:rFonts w:ascii="仿宋_GB2312" w:hAnsi="仿宋" w:eastAsia="仿宋_GB2312"/>
          <w:sz w:val="32"/>
          <w:szCs w:val="32"/>
        </w:rPr>
        <w:t>6-苄基腺嘌呤在豆芽中添加过量后，会导致儿童发育早熟，女性生理改变，老年人骨质疏松等，甚至有致癌可能</w:t>
      </w:r>
      <w:r>
        <w:rPr>
          <w:rFonts w:hint="eastAsia" w:ascii="仿宋_GB2312" w:hAnsi="仿宋" w:eastAsia="仿宋_GB2312"/>
          <w:sz w:val="32"/>
          <w:szCs w:val="32"/>
        </w:rPr>
        <w:t>。</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（九）</w:t>
      </w:r>
      <w:r>
        <w:rPr>
          <w:rFonts w:hint="eastAsia" w:ascii="楷体_GB2312" w:hAnsi="楷体" w:eastAsia="楷体_GB2312" w:cs="仿宋_GB2312"/>
          <w:b/>
          <w:sz w:val="32"/>
          <w:szCs w:val="32"/>
        </w:rPr>
        <w:t>二氧化硫残留量</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w:t>
      </w:r>
      <w:r>
        <w:rPr>
          <w:rFonts w:hint="eastAsia" w:ascii="仿宋_GB2312" w:hAnsi="仿宋" w:eastAsia="仿宋_GB2312" w:cs="宋体"/>
          <w:kern w:val="0"/>
          <w:sz w:val="32"/>
          <w:szCs w:val="32"/>
        </w:rPr>
        <w:t>钠、亚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w:t>
      </w:r>
      <w:r>
        <w:rPr>
          <w:rFonts w:hint="eastAsia" w:ascii="仿宋_GB2312" w:hAnsi="仿宋"/>
          <w:sz w:val="32"/>
          <w:szCs w:val="32"/>
          <w:lang w:eastAsia="zh-CN"/>
        </w:rPr>
        <w:t>，干制</w:t>
      </w:r>
      <w:r>
        <w:rPr>
          <w:rFonts w:hint="eastAsia" w:ascii="仿宋_GB2312" w:hAnsi="仿宋" w:eastAsia="仿宋_GB2312"/>
          <w:sz w:val="32"/>
          <w:szCs w:val="32"/>
        </w:rPr>
        <w:t>蔬菜中二氧化硫残留量应≤0.</w:t>
      </w:r>
      <w:r>
        <w:rPr>
          <w:rFonts w:hint="eastAsia" w:ascii="仿宋_GB2312" w:hAnsi="仿宋"/>
          <w:sz w:val="32"/>
          <w:szCs w:val="32"/>
          <w:lang w:val="en-US" w:eastAsia="zh-CN"/>
        </w:rPr>
        <w:t>2</w:t>
      </w:r>
      <w:r>
        <w:rPr>
          <w:rFonts w:hint="eastAsia" w:ascii="仿宋_GB2312" w:hAnsi="仿宋" w:eastAsia="仿宋_GB2312"/>
          <w:sz w:val="32"/>
          <w:szCs w:val="32"/>
        </w:rPr>
        <w:t xml:space="preserve"> g/kg，干制蔬菜中二氧化硫残留量应≤0.2 g/kg。</w:t>
      </w:r>
      <w:r>
        <w:rPr>
          <w:rFonts w:hint="eastAsia" w:ascii="仿宋_GB2312" w:hAnsi="仿宋" w:eastAsia="仿宋_GB2312" w:cs="宋体"/>
          <w:color w:val="000000"/>
          <w:kern w:val="0"/>
          <w:sz w:val="32"/>
          <w:szCs w:val="32"/>
        </w:rPr>
        <w:t>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w:t>
      </w:r>
      <w:r>
        <w:rPr>
          <w:rFonts w:hint="eastAsia" w:ascii="仿宋_GB2312" w:hAnsi="仿宋" w:eastAsia="仿宋_GB2312" w:cs="宋体"/>
          <w:b w:val="0"/>
          <w:bCs w:val="0"/>
          <w:color w:val="000000"/>
          <w:kern w:val="0"/>
          <w:sz w:val="32"/>
          <w:szCs w:val="32"/>
        </w:rPr>
        <w:t>品，则可能对人体健康造成危害，其毒性表现为胃肠道反应，如</w:t>
      </w:r>
      <w:r>
        <w:rPr>
          <w:rFonts w:hint="eastAsia" w:ascii="仿宋_GB2312" w:hAnsi="仿宋" w:eastAsia="仿宋_GB2312" w:cs="宋体"/>
          <w:color w:val="000000"/>
          <w:kern w:val="0"/>
          <w:sz w:val="32"/>
          <w:szCs w:val="32"/>
        </w:rPr>
        <w:t>恶心、呕吐等。此外，还会影响钙吸收，使机体钙丢失。</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w:t>
      </w:r>
      <w:r>
        <w:rPr>
          <w:rFonts w:ascii="楷体_GB2312" w:hAnsi="宋体" w:eastAsia="楷体_GB2312" w:cs="宋体"/>
          <w:b/>
          <w:kern w:val="0"/>
          <w:sz w:val="32"/>
          <w:szCs w:val="32"/>
        </w:rPr>
        <w:t>孔雀石绿</w:t>
      </w:r>
    </w:p>
    <w:p>
      <w:pPr>
        <w:spacing w:line="560" w:lineRule="exact"/>
        <w:ind w:firstLine="640" w:firstLineChars="200"/>
        <w:rPr>
          <w:rFonts w:hint="eastAsia" w:ascii="仿宋_GB2312" w:hAnsi="仿宋" w:eastAsia="仿宋_GB2312" w:cs="宋体"/>
          <w:b w:val="0"/>
          <w:bCs w:val="0"/>
          <w:color w:val="000000"/>
          <w:kern w:val="0"/>
          <w:sz w:val="32"/>
          <w:szCs w:val="32"/>
        </w:rPr>
      </w:pPr>
      <w:r>
        <w:rPr>
          <w:rFonts w:hint="eastAsia" w:ascii="仿宋_GB2312" w:hAnsi="仿宋" w:eastAsia="仿宋_GB2312" w:cs="宋体"/>
          <w:b w:val="0"/>
          <w:bCs w:val="0"/>
          <w:color w:val="000000"/>
          <w:kern w:val="0"/>
          <w:sz w:val="32"/>
          <w:szCs w:val="32"/>
        </w:rPr>
        <w:t>孔雀石绿属于三苯甲烷类化学物，既是染料，也是杀真菌、杀细菌、杀寄生虫的药物。《中华人民共和国农业农村部公共 第250号》中规定，该类药物为禁用兽药，在动物性食品中不得检出。长期食用检出孔雀石绿的食品可能会危害人体健康。</w:t>
      </w:r>
    </w:p>
    <w:p>
      <w:pPr>
        <w:spacing w:line="560" w:lineRule="exact"/>
        <w:ind w:firstLine="482" w:firstLineChars="15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一）</w:t>
      </w:r>
      <w:r>
        <w:rPr>
          <w:rFonts w:hint="eastAsia" w:ascii="楷体_GB2312" w:hAnsi="楷体" w:eastAsia="楷体_GB2312"/>
          <w:b/>
          <w:color w:val="000000" w:themeColor="text1"/>
          <w:sz w:val="32"/>
          <w:szCs w:val="32"/>
          <w14:textFill>
            <w14:solidFill>
              <w14:schemeClr w14:val="tx1"/>
            </w14:solidFill>
          </w14:textFill>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宋体"/>
          <w:sz w:val="32"/>
          <w:szCs w:val="32"/>
        </w:rPr>
        <w:t>《鸡精调味料》（SB/T 10371-</w:t>
      </w:r>
      <w:r>
        <w:rPr>
          <w:rFonts w:hint="eastAsia" w:ascii="仿宋_GB2312" w:hAnsi="仿宋" w:eastAsia="仿宋_GB2312" w:cs="宋体"/>
          <w:color w:val="auto"/>
          <w:sz w:val="32"/>
          <w:szCs w:val="32"/>
        </w:rPr>
        <w:t>2003）中规定，鸡精调味料中</w:t>
      </w:r>
      <w:r>
        <w:rPr>
          <w:rFonts w:hint="eastAsia" w:ascii="仿宋_GB2312" w:hAnsi="仿宋" w:cs="宋体"/>
          <w:color w:val="auto"/>
          <w:sz w:val="32"/>
          <w:szCs w:val="32"/>
          <w:lang w:eastAsia="zh-CN"/>
        </w:rPr>
        <w:t>菌落总数</w:t>
      </w:r>
      <w:r>
        <w:rPr>
          <w:rFonts w:hint="eastAsia" w:ascii="仿宋_GB2312" w:hAnsi="仿宋" w:eastAsia="仿宋_GB2312" w:cs="宋体"/>
          <w:color w:val="auto"/>
          <w:sz w:val="32"/>
          <w:szCs w:val="32"/>
        </w:rPr>
        <w:t>应</w:t>
      </w:r>
      <w:r>
        <w:rPr>
          <w:rFonts w:hint="eastAsia" w:ascii="仿宋_GB2312" w:hAnsi="仿宋" w:eastAsia="仿宋_GB2312"/>
          <w:color w:val="auto"/>
          <w:sz w:val="32"/>
          <w:szCs w:val="32"/>
        </w:rPr>
        <w:t>≤</w:t>
      </w:r>
      <w:r>
        <w:rPr>
          <w:rFonts w:hint="eastAsia" w:ascii="仿宋_GB2312" w:hAnsi="仿宋" w:cs="宋体"/>
          <w:color w:val="auto"/>
          <w:sz w:val="32"/>
          <w:szCs w:val="32"/>
          <w:lang w:val="en-US" w:eastAsia="zh-CN"/>
        </w:rPr>
        <w:t>10000 cfu/</w:t>
      </w:r>
      <w:r>
        <w:rPr>
          <w:rFonts w:hint="eastAsia" w:ascii="仿宋_GB2312" w:hAnsi="仿宋" w:eastAsia="仿宋_GB2312" w:cs="宋体"/>
          <w:color w:val="auto"/>
          <w:sz w:val="32"/>
          <w:szCs w:val="32"/>
        </w:rPr>
        <w:t>g。</w:t>
      </w:r>
      <w:r>
        <w:rPr>
          <w:rFonts w:hint="eastAsia" w:ascii="仿宋_GB2312" w:hAnsi="仿宋" w:eastAsia="仿宋_GB2312"/>
          <w:color w:val="auto"/>
          <w:sz w:val="32"/>
          <w:szCs w:val="32"/>
        </w:rPr>
        <w:t>食品的菌落总数超标，说明其产品的卫生状况达不到基本的卫</w:t>
      </w:r>
      <w:r>
        <w:rPr>
          <w:rFonts w:hint="eastAsia" w:ascii="仿宋_GB2312" w:hAnsi="仿宋" w:eastAsia="仿宋_GB2312"/>
          <w:sz w:val="32"/>
          <w:szCs w:val="32"/>
        </w:rPr>
        <w:t>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widowControl/>
        <w:kinsoku/>
        <w:wordWrap/>
        <w:overflowPunct/>
        <w:topLinePunct w:val="0"/>
        <w:autoSpaceDE/>
        <w:autoSpaceDN/>
        <w:bidi w:val="0"/>
        <w:adjustRightInd/>
        <w:snapToGrid/>
        <w:spacing w:line="560" w:lineRule="exact"/>
        <w:ind w:firstLine="630" w:firstLineChars="196"/>
        <w:jc w:val="left"/>
        <w:textAlignment w:val="auto"/>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w:t>
      </w:r>
      <w:r>
        <w:rPr>
          <w:rFonts w:hint="eastAsia" w:ascii="楷体_GB2312" w:hAnsi="宋体" w:eastAsia="楷体_GB2312" w:cs="宋体"/>
          <w:b/>
          <w:color w:val="auto"/>
          <w:kern w:val="0"/>
          <w:sz w:val="32"/>
          <w:szCs w:val="32"/>
          <w:highlight w:val="none"/>
          <w:lang w:val="en-US" w:eastAsia="zh-CN"/>
        </w:rPr>
        <w:t>十二</w:t>
      </w:r>
      <w:r>
        <w:rPr>
          <w:rFonts w:hint="eastAsia" w:ascii="楷体_GB2312" w:hAnsi="宋体" w:eastAsia="楷体_GB2312" w:cs="宋体"/>
          <w:b/>
          <w:color w:val="auto"/>
          <w:kern w:val="0"/>
          <w:sz w:val="32"/>
          <w:szCs w:val="32"/>
          <w:highlight w:val="none"/>
        </w:rPr>
        <w:t>）</w:t>
      </w:r>
      <w:r>
        <w:rPr>
          <w:rFonts w:ascii="楷体_GB2312" w:hAnsi="宋体" w:eastAsia="楷体_GB2312" w:cs="宋体"/>
          <w:b/>
          <w:color w:val="auto"/>
          <w:kern w:val="0"/>
          <w:sz w:val="32"/>
          <w:szCs w:val="32"/>
          <w:highlight w:val="none"/>
        </w:rPr>
        <w:t>糖精钠　　</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糖精钠的甜度约为蔗糖的450～550倍，故其十万分之一的水溶液即有甜味感，浓度高了以后还会出现苦味。《食品安全国家标准 食品添加剂使用标准》（GB 2760-2014）中规定，餐饮成品的饮料（自制）不得使用糖精钠。糖精钠是有机化工合成产品，除了在味觉上引起甜的感觉外，对人体无任何营养价值。相反，当人体食用较多的糖精钠时，会影响肠胃消化酶的正常分泌，降低小肠的吸收能力，使食欲减退。</w:t>
      </w:r>
    </w:p>
    <w:p>
      <w:pPr>
        <w:spacing w:line="560" w:lineRule="exact"/>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）氯氟氰菊酯和高效氯氟氰菊酯</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cs="仿宋"/>
          <w:bCs/>
          <w:sz w:val="32"/>
          <w:szCs w:val="32"/>
        </w:rPr>
        <w:t>是一种具有触杀和胃毒作用的拟除虫菊酯类农药。《食品安全国家标准 食品中农药最大残留限量》（GB 2763-2019）中规定，瓜类蔬菜中</w:t>
      </w: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sz w:val="32"/>
          <w:szCs w:val="32"/>
        </w:rPr>
        <w:t>残留限量值应≤0.05mg/kg</w:t>
      </w:r>
      <w:r>
        <w:rPr>
          <w:rFonts w:hint="eastAsia" w:ascii="仿宋_GB2312" w:hAnsi="仿宋" w:eastAsia="仿宋_GB2312"/>
          <w:color w:val="0000FF"/>
          <w:sz w:val="32"/>
          <w:szCs w:val="32"/>
        </w:rPr>
        <w:t>。</w:t>
      </w: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sz w:val="32"/>
          <w:szCs w:val="32"/>
        </w:rPr>
        <w:t>对皮肤有刺激作用，接触量大时会引起头痛、头昏、恶心、呕吐、双手颤抖等症状。</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十四</w:t>
      </w:r>
      <w:r>
        <w:rPr>
          <w:rFonts w:hint="eastAsia" w:ascii="楷体_GB2312" w:hAnsi="楷体" w:eastAsia="楷体_GB2312" w:cs="仿宋_GB2312"/>
          <w:b/>
          <w:sz w:val="32"/>
          <w:szCs w:val="32"/>
        </w:rPr>
        <w:t>)标签</w:t>
      </w:r>
    </w:p>
    <w:p>
      <w:pPr>
        <w:spacing w:line="560" w:lineRule="exact"/>
        <w:ind w:firstLine="640" w:firstLineChars="200"/>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w:t>
      </w:r>
      <w:r>
        <w:rPr>
          <w:rFonts w:ascii="仿宋_GB2312" w:hAnsi="仿宋" w:eastAsia="仿宋_GB2312"/>
          <w:color w:val="auto"/>
          <w:sz w:val="32"/>
          <w:szCs w:val="32"/>
        </w:rPr>
        <w:t>食品标签</w:t>
      </w:r>
      <w:r>
        <w:rPr>
          <w:rFonts w:ascii="仿宋_GB2312" w:hAnsi="仿宋" w:eastAsia="仿宋_GB2312"/>
          <w:sz w:val="32"/>
          <w:szCs w:val="32"/>
        </w:rPr>
        <w:t>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本次抽检</w:t>
      </w:r>
      <w:r>
        <w:rPr>
          <w:rFonts w:ascii="仿宋_GB2312" w:hAnsi="仿宋" w:eastAsia="仿宋_GB2312"/>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十五</w:t>
      </w:r>
      <w:r>
        <w:rPr>
          <w:rFonts w:hint="eastAsia" w:ascii="楷体_GB2312" w:hAnsi="楷体" w:eastAsia="楷体_GB2312" w:cs="Arial"/>
          <w:b/>
          <w:sz w:val="32"/>
          <w:szCs w:val="32"/>
          <w:shd w:val="clear" w:color="auto" w:fill="FFFFFF"/>
        </w:rPr>
        <w:t>）氟苯尼考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十六</w:t>
      </w:r>
      <w:r>
        <w:rPr>
          <w:rFonts w:hint="eastAsia" w:ascii="楷体_GB2312" w:hAnsi="楷体" w:eastAsia="楷体_GB2312" w:cs="Arial"/>
          <w:b/>
          <w:sz w:val="32"/>
          <w:szCs w:val="32"/>
          <w:shd w:val="clear" w:color="auto" w:fill="FFFFFF"/>
        </w:rPr>
        <w:t>）氯霉素</w:t>
      </w:r>
      <w:bookmarkStart w:id="0" w:name="_GoBack"/>
      <w:bookmarkEnd w:id="0"/>
    </w:p>
    <w:p>
      <w:pPr>
        <w:widowControl/>
        <w:spacing w:line="560" w:lineRule="exact"/>
        <w:ind w:firstLine="640" w:firstLineChars="200"/>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w:t>
      </w:r>
      <w:r>
        <w:rPr>
          <w:rFonts w:hint="eastAsia" w:ascii="仿宋_GB2312" w:hAnsi="仿宋" w:eastAsia="仿宋_GB2312"/>
          <w:sz w:val="32"/>
          <w:szCs w:val="32"/>
          <w:lang w:eastAsia="zh-CN"/>
        </w:rPr>
        <w:t>关于印发</w:t>
      </w:r>
      <w:r>
        <w:rPr>
          <w:rFonts w:hint="eastAsia" w:ascii="仿宋_GB2312" w:hAnsi="仿宋" w:eastAsia="仿宋_GB2312"/>
          <w:sz w:val="32"/>
          <w:szCs w:val="32"/>
          <w:lang w:val="en-US" w:eastAsia="zh-CN"/>
        </w:rPr>
        <w:t>&lt;食品中可能违法添加的非食用物质和易滥用的食品添加剂品种名单（第五批）的通知&gt;</w:t>
      </w:r>
      <w:r>
        <w:rPr>
          <w:rFonts w:hint="eastAsia" w:ascii="仿宋_GB2312" w:hAnsi="仿宋" w:eastAsia="仿宋_GB2312"/>
          <w:sz w:val="32"/>
          <w:szCs w:val="32"/>
        </w:rPr>
        <w:t>》</w:t>
      </w:r>
      <w:r>
        <w:rPr>
          <w:rFonts w:hint="eastAsia" w:ascii="仿宋_GB2312" w:hAnsi="仿宋" w:eastAsia="仿宋_GB2312"/>
          <w:color w:val="auto"/>
          <w:sz w:val="32"/>
          <w:szCs w:val="32"/>
        </w:rPr>
        <w:t>中规定，</w:t>
      </w:r>
      <w:r>
        <w:rPr>
          <w:rFonts w:hint="eastAsia" w:ascii="仿宋_GB2312" w:hAnsi="仿宋" w:eastAsia="仿宋_GB2312"/>
          <w:sz w:val="32"/>
          <w:szCs w:val="32"/>
        </w:rPr>
        <w:t>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cs="仿宋"/>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7C82C95"/>
    <w:rsid w:val="091C5D20"/>
    <w:rsid w:val="0C455D22"/>
    <w:rsid w:val="0CD4225F"/>
    <w:rsid w:val="0EA93008"/>
    <w:rsid w:val="0EC839C2"/>
    <w:rsid w:val="10AD16A7"/>
    <w:rsid w:val="1162065F"/>
    <w:rsid w:val="11B32DA0"/>
    <w:rsid w:val="16396F4B"/>
    <w:rsid w:val="16A52765"/>
    <w:rsid w:val="176818BF"/>
    <w:rsid w:val="17FA5E44"/>
    <w:rsid w:val="181E6360"/>
    <w:rsid w:val="199008F8"/>
    <w:rsid w:val="1B042E72"/>
    <w:rsid w:val="1C2B3ECE"/>
    <w:rsid w:val="1F456A61"/>
    <w:rsid w:val="200B2815"/>
    <w:rsid w:val="231A399D"/>
    <w:rsid w:val="249A66FD"/>
    <w:rsid w:val="25D84592"/>
    <w:rsid w:val="274815F0"/>
    <w:rsid w:val="27D171E0"/>
    <w:rsid w:val="2DA27B95"/>
    <w:rsid w:val="2FFC71C6"/>
    <w:rsid w:val="323F00BC"/>
    <w:rsid w:val="324700B2"/>
    <w:rsid w:val="36A26439"/>
    <w:rsid w:val="387272BF"/>
    <w:rsid w:val="38865B2F"/>
    <w:rsid w:val="3BFE4DC9"/>
    <w:rsid w:val="3E051E67"/>
    <w:rsid w:val="3E88008E"/>
    <w:rsid w:val="3E984FE9"/>
    <w:rsid w:val="3EC80CDE"/>
    <w:rsid w:val="44141429"/>
    <w:rsid w:val="464A4562"/>
    <w:rsid w:val="4848609B"/>
    <w:rsid w:val="4B37566A"/>
    <w:rsid w:val="4EBC0748"/>
    <w:rsid w:val="4FED4605"/>
    <w:rsid w:val="52FE47AC"/>
    <w:rsid w:val="533A17A5"/>
    <w:rsid w:val="53465E28"/>
    <w:rsid w:val="59E33FF0"/>
    <w:rsid w:val="59EA54F5"/>
    <w:rsid w:val="5E214E94"/>
    <w:rsid w:val="5E7004E1"/>
    <w:rsid w:val="6048573D"/>
    <w:rsid w:val="62547A4D"/>
    <w:rsid w:val="63E10B0C"/>
    <w:rsid w:val="65E578BD"/>
    <w:rsid w:val="6792245C"/>
    <w:rsid w:val="6801069F"/>
    <w:rsid w:val="69130912"/>
    <w:rsid w:val="69CB77D8"/>
    <w:rsid w:val="6A323B2C"/>
    <w:rsid w:val="6ECD36FF"/>
    <w:rsid w:val="72A04A1F"/>
    <w:rsid w:val="72F24D9D"/>
    <w:rsid w:val="738026E3"/>
    <w:rsid w:val="75CA36CA"/>
    <w:rsid w:val="763955BF"/>
    <w:rsid w:val="77FC16E5"/>
    <w:rsid w:val="78FE0A2F"/>
    <w:rsid w:val="7B5E04A9"/>
    <w:rsid w:val="7C07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175</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2021-03-01T06:59:53Z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