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应停用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  <w:t>或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注销特种设备信息表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（深市监福公字〔2021〕49号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）</w:t>
      </w:r>
    </w:p>
    <w:tbl>
      <w:tblPr>
        <w:tblStyle w:val="3"/>
        <w:tblW w:w="10838" w:type="dxa"/>
        <w:jc w:val="center"/>
        <w:tblInd w:w="-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629"/>
        <w:gridCol w:w="2357"/>
        <w:gridCol w:w="2714"/>
        <w:gridCol w:w="108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安装地址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设备种类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深圳市地方税务局纳税服务局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31304403002008006225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深圳市福田区新沙路13号深圳市地方税务局纳税服务局办公楼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华裳服装（深圳）有限公司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30104403001995023265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上梅林同得仕大厦*4#梯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停用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402A"/>
    <w:rsid w:val="3C560AA1"/>
    <w:rsid w:val="572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2021-03-25T01:35:00Z</dcterms:created>
  <dc:creator>彭伏波</dc:creator>
  <cp:lastModifiedBy>方琦</cp:lastModifiedBy>
  <dcterms:modified xsi:type="dcterms:W3CDTF">2021-04-01T06:30:36Z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