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黑体" w:hAnsi="黑体" w:eastAsia="黑体" w:cs="Arial"/>
          <w:kern w:val="0"/>
          <w:szCs w:val="32"/>
          <w:lang w:eastAsia="zh-CN"/>
        </w:rPr>
      </w:pPr>
      <w:r>
        <w:rPr>
          <w:rFonts w:hint="eastAsia" w:ascii="黑体" w:hAnsi="黑体" w:eastAsia="黑体" w:cs="Arial"/>
          <w:kern w:val="0"/>
          <w:szCs w:val="32"/>
        </w:rPr>
        <w:t>附件</w:t>
      </w:r>
      <w:r>
        <w:rPr>
          <w:rFonts w:hint="eastAsia" w:ascii="黑体" w:hAnsi="黑体" w:eastAsia="黑体" w:cs="Arial"/>
          <w:kern w:val="0"/>
          <w:szCs w:val="32"/>
          <w:lang w:val="en-US" w:eastAsia="zh-CN"/>
        </w:rPr>
        <w:t>3</w:t>
      </w:r>
    </w:p>
    <w:p>
      <w:pPr>
        <w:keepNext w:val="0"/>
        <w:keepLines w:val="0"/>
        <w:pageBreakBefore w:val="0"/>
        <w:kinsoku/>
        <w:wordWrap/>
        <w:overflowPunct/>
        <w:topLinePunct w:val="0"/>
        <w:autoSpaceDE/>
        <w:autoSpaceDN/>
        <w:bidi w:val="0"/>
        <w:adjustRightInd/>
        <w:snapToGrid/>
        <w:spacing w:line="560" w:lineRule="exact"/>
        <w:ind w:firstLine="832"/>
        <w:jc w:val="center"/>
        <w:textAlignment w:val="auto"/>
        <w:rPr>
          <w:rFonts w:ascii="方正小标宋简体" w:hAnsi="方正小标宋简体" w:eastAsia="方正小标宋简体" w:cs="方正小标宋简体"/>
          <w:spacing w:val="-12"/>
          <w:sz w:val="44"/>
          <w:szCs w:val="44"/>
        </w:rPr>
      </w:pPr>
      <w:r>
        <w:rPr>
          <w:rFonts w:hint="eastAsia" w:ascii="华文中宋" w:hAnsi="华文中宋" w:eastAsia="华文中宋" w:cs="华文中宋"/>
          <w:spacing w:val="-12"/>
          <w:sz w:val="44"/>
          <w:szCs w:val="44"/>
        </w:rPr>
        <w:t>部分不合格项目小知识</w:t>
      </w:r>
    </w:p>
    <w:p>
      <w:pPr>
        <w:pStyle w:val="2"/>
        <w:keepNext w:val="0"/>
        <w:keepLines w:val="0"/>
        <w:pageBreakBefore w:val="0"/>
        <w:kinsoku/>
        <w:wordWrap/>
        <w:overflowPunct/>
        <w:topLinePunct w:val="0"/>
        <w:autoSpaceDE/>
        <w:autoSpaceDN/>
        <w:bidi w:val="0"/>
        <w:adjustRightInd/>
        <w:snapToGrid/>
        <w:spacing w:after="0" w:line="560" w:lineRule="exact"/>
        <w:ind w:left="640" w:firstLine="480"/>
        <w:textAlignment w:val="auto"/>
      </w:pPr>
    </w:p>
    <w:p>
      <w:pPr>
        <w:keepNext w:val="0"/>
        <w:keepLines w:val="0"/>
        <w:pageBreakBefore w:val="0"/>
        <w:kinsoku/>
        <w:wordWrap/>
        <w:overflowPunct/>
        <w:topLinePunct w:val="0"/>
        <w:autoSpaceDE/>
        <w:autoSpaceDN/>
        <w:bidi w:val="0"/>
        <w:adjustRightInd/>
        <w:snapToGrid/>
        <w:spacing w:line="560" w:lineRule="exact"/>
        <w:ind w:firstLine="643"/>
        <w:textAlignment w:val="auto"/>
        <w:rPr>
          <w:rFonts w:ascii="黑体" w:hAnsi="黑体" w:eastAsia="黑体" w:cs="黑体"/>
          <w:b w:val="0"/>
          <w:bCs w:val="0"/>
          <w:szCs w:val="32"/>
        </w:rPr>
      </w:pPr>
      <w:r>
        <w:rPr>
          <w:rFonts w:hint="eastAsia" w:ascii="黑体" w:hAnsi="黑体" w:eastAsia="黑体" w:cs="黑体"/>
          <w:b w:val="0"/>
          <w:bCs w:val="0"/>
          <w:szCs w:val="32"/>
        </w:rPr>
        <w:t>一、不合格项目小知识</w:t>
      </w:r>
    </w:p>
    <w:p>
      <w:pPr>
        <w:pStyle w:val="2"/>
        <w:keepNext w:val="0"/>
        <w:keepLines w:val="0"/>
        <w:pageBreakBefore w:val="0"/>
        <w:kinsoku/>
        <w:wordWrap/>
        <w:overflowPunct/>
        <w:topLinePunct w:val="0"/>
        <w:autoSpaceDE/>
        <w:autoSpaceDN/>
        <w:bidi w:val="0"/>
        <w:adjustRightInd/>
        <w:snapToGrid/>
        <w:spacing w:after="0" w:line="560" w:lineRule="exact"/>
        <w:ind w:left="0" w:leftChars="0" w:firstLine="643" w:firstLineChars="200"/>
        <w:textAlignment w:val="auto"/>
        <w:rPr>
          <w:rFonts w:hint="eastAsia" w:ascii="楷体_GB2312" w:hAnsi="楷体" w:eastAsia="楷体_GB2312" w:cs="仿宋_GB2312"/>
          <w:b/>
          <w:sz w:val="32"/>
          <w:szCs w:val="32"/>
          <w:lang w:val="zh-CN" w:eastAsia="zh-CN"/>
        </w:rPr>
      </w:pPr>
      <w:r>
        <w:rPr>
          <w:rFonts w:hint="eastAsia" w:ascii="楷体_GB2312" w:hAnsi="楷体" w:eastAsia="楷体_GB2312" w:cs="仿宋_GB2312"/>
          <w:b/>
          <w:sz w:val="32"/>
          <w:szCs w:val="32"/>
          <w:lang w:val="zh-CN" w:eastAsia="zh-CN"/>
        </w:rPr>
        <w:t>（一）水分</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水分属于理化指标，是食品的一个内在质量因素，各类食品的产品标准常</w:t>
      </w:r>
      <w:bookmarkStart w:id="0" w:name="_GoBack"/>
      <w:bookmarkEnd w:id="0"/>
      <w:r>
        <w:rPr>
          <w:rFonts w:hint="eastAsia" w:ascii="仿宋_GB2312" w:hAnsi="宋体" w:eastAsia="仿宋_GB2312" w:cs="宋体"/>
          <w:kern w:val="0"/>
          <w:sz w:val="32"/>
          <w:szCs w:val="32"/>
        </w:rPr>
        <w:t>对水分含量有明确的限值要求，水分高低反映产品的含水量。合理的水分控制，可避免产品的功效成分或营养物质分解、酶解变质、霉变等，有助于保持产品质量稳定</w:t>
      </w:r>
      <w:r>
        <w:rPr>
          <w:rFonts w:hint="eastAsia" w:ascii="仿宋_GB2312" w:hAnsi="宋体" w:cs="宋体"/>
          <w:kern w:val="0"/>
          <w:sz w:val="32"/>
          <w:szCs w:val="32"/>
          <w:lang w:eastAsia="zh-CN"/>
        </w:rPr>
        <w:t>。</w:t>
      </w:r>
      <w:r>
        <w:rPr>
          <w:rFonts w:hint="eastAsia" w:ascii="仿宋_GB2312" w:hAnsi="宋体" w:eastAsia="仿宋_GB2312" w:cs="宋体"/>
          <w:kern w:val="0"/>
          <w:sz w:val="32"/>
          <w:szCs w:val="32"/>
        </w:rPr>
        <w:t>《食品安全国家标准 食用菌及其制品》（GB 7096-</w:t>
      </w:r>
      <w:r>
        <w:rPr>
          <w:rFonts w:hint="eastAsia" w:ascii="仿宋_GB2312" w:hAnsi="宋体" w:cs="宋体"/>
          <w:kern w:val="0"/>
          <w:sz w:val="32"/>
          <w:szCs w:val="32"/>
          <w:lang w:val="en-US" w:eastAsia="zh-CN"/>
        </w:rPr>
        <w:t xml:space="preserve"> </w:t>
      </w:r>
      <w:r>
        <w:rPr>
          <w:rFonts w:hint="eastAsia" w:ascii="仿宋_GB2312" w:hAnsi="宋体" w:eastAsia="仿宋_GB2312" w:cs="宋体"/>
          <w:kern w:val="0"/>
          <w:sz w:val="32"/>
          <w:szCs w:val="32"/>
        </w:rPr>
        <w:t>2014）中规定，香菇</w:t>
      </w:r>
      <w:r>
        <w:rPr>
          <w:rFonts w:hint="eastAsia" w:ascii="仿宋_GB2312" w:hAnsi="仿宋" w:eastAsia="仿宋_GB2312"/>
          <w:sz w:val="32"/>
          <w:szCs w:val="32"/>
        </w:rPr>
        <w:t>干制品、银耳干制品以外的其他食用菌干制品</w:t>
      </w:r>
      <w:r>
        <w:rPr>
          <w:rFonts w:hint="eastAsia" w:ascii="仿宋_GB2312" w:hAnsi="宋体" w:eastAsia="仿宋_GB2312" w:cs="宋体"/>
          <w:kern w:val="0"/>
          <w:sz w:val="32"/>
          <w:szCs w:val="32"/>
        </w:rPr>
        <w:t>水分应</w:t>
      </w:r>
      <w:r>
        <w:rPr>
          <w:rFonts w:hint="eastAsia" w:ascii="仿宋_GB2312" w:hAnsi="仿宋" w:eastAsia="仿宋_GB2312"/>
          <w:sz w:val="32"/>
          <w:szCs w:val="32"/>
        </w:rPr>
        <w:t>≤12g/100g。</w:t>
      </w:r>
      <w:r>
        <w:rPr>
          <w:rFonts w:hint="eastAsia" w:ascii="仿宋_GB2312" w:hAnsi="宋体" w:eastAsia="仿宋_GB2312" w:cs="宋体"/>
          <w:kern w:val="0"/>
          <w:sz w:val="32"/>
          <w:szCs w:val="32"/>
        </w:rPr>
        <w:t>食品的水分不合格对人体健康没有重大影响，但是，水分超标会缩短产品的保质期限，使产品易发生霉变，可能引起产品质量的下降。</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Chars="200"/>
        <w:jc w:val="left"/>
        <w:textAlignment w:val="auto"/>
        <w:rPr>
          <w:rFonts w:ascii="楷体_GB2312" w:hAnsi="宋体" w:eastAsia="楷体_GB2312" w:cs="宋体"/>
          <w:b/>
          <w:kern w:val="0"/>
          <w:sz w:val="32"/>
          <w:szCs w:val="32"/>
        </w:rPr>
      </w:pPr>
      <w:r>
        <w:rPr>
          <w:rFonts w:hint="eastAsia" w:ascii="楷体_GB2312" w:hAnsi="宋体" w:eastAsia="楷体_GB2312" w:cs="宋体"/>
          <w:b/>
          <w:kern w:val="0"/>
          <w:sz w:val="32"/>
          <w:szCs w:val="32"/>
          <w:lang w:eastAsia="zh-CN"/>
        </w:rPr>
        <w:t>（二）</w:t>
      </w:r>
      <w:r>
        <w:rPr>
          <w:rFonts w:ascii="楷体_GB2312" w:hAnsi="宋体" w:eastAsia="楷体_GB2312" w:cs="宋体"/>
          <w:b/>
          <w:kern w:val="0"/>
          <w:sz w:val="32"/>
          <w:szCs w:val="32"/>
        </w:rPr>
        <w:t>过氧化值</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ascii="仿宋_GB2312" w:hAnsi="仿宋" w:eastAsia="仿宋_GB2312" w:cs="宋体"/>
          <w:color w:val="auto"/>
          <w:kern w:val="0"/>
          <w:sz w:val="32"/>
          <w:szCs w:val="32"/>
          <w:lang w:val="zh-CN"/>
        </w:rPr>
      </w:pPr>
      <w:r>
        <w:rPr>
          <w:rFonts w:ascii="仿宋_GB2312" w:hAnsi="仿宋" w:eastAsia="仿宋_GB2312" w:cs="宋体"/>
          <w:kern w:val="0"/>
          <w:sz w:val="32"/>
          <w:szCs w:val="32"/>
          <w:lang w:val="zh-CN"/>
        </w:rPr>
        <w:t>过氧化值（以脂肪计）主要反映食品中油脂是否氧化变质。随着油脂氧化，过氧化值会逐步升高，虽一般不会对人体的健康产生损害，但严重时会导致肠胃不适、腹泻等症状。</w:t>
      </w:r>
      <w:r>
        <w:rPr>
          <w:rFonts w:hint="eastAsia" w:ascii="仿宋_GB2312" w:hAnsi="仿宋" w:eastAsia="仿宋_GB2312" w:cs="仿宋"/>
          <w:sz w:val="32"/>
          <w:szCs w:val="32"/>
        </w:rPr>
        <w:t>《食品安全国家标准 腌腊肉制品》（GB 2730-2015）中规定，腌腊肉制品的过氧化值(以脂肪计)应≤0.5g/100g。</w:t>
      </w:r>
      <w:r>
        <w:rPr>
          <w:rFonts w:ascii="仿宋_GB2312" w:hAnsi="仿宋" w:eastAsia="仿宋_GB2312" w:cs="宋体"/>
          <w:kern w:val="0"/>
          <w:sz w:val="32"/>
          <w:szCs w:val="32"/>
          <w:lang w:val="zh-CN"/>
        </w:rPr>
        <w:t>过氧化值超标的原因，可能</w:t>
      </w:r>
      <w:r>
        <w:rPr>
          <w:rFonts w:ascii="仿宋_GB2312" w:hAnsi="仿宋" w:eastAsia="仿宋_GB2312" w:cs="宋体"/>
          <w:color w:val="auto"/>
          <w:kern w:val="0"/>
          <w:sz w:val="32"/>
          <w:szCs w:val="32"/>
          <w:lang w:val="zh-CN"/>
        </w:rPr>
        <w:t>是</w:t>
      </w:r>
      <w:r>
        <w:rPr>
          <w:rFonts w:hint="eastAsia" w:ascii="仿宋_GB2312" w:hAnsi="仿宋" w:cs="宋体"/>
          <w:color w:val="auto"/>
          <w:kern w:val="0"/>
          <w:sz w:val="32"/>
          <w:szCs w:val="32"/>
          <w:lang w:val="zh-CN"/>
        </w:rPr>
        <w:t>产品因</w:t>
      </w:r>
      <w:r>
        <w:rPr>
          <w:rFonts w:ascii="仿宋_GB2312" w:hAnsi="仿宋" w:eastAsia="仿宋_GB2312" w:cs="宋体"/>
          <w:color w:val="auto"/>
          <w:kern w:val="0"/>
          <w:sz w:val="32"/>
          <w:szCs w:val="32"/>
          <w:lang w:val="zh-CN"/>
        </w:rPr>
        <w:t>储存不当导致</w:t>
      </w:r>
      <w:r>
        <w:rPr>
          <w:rFonts w:hint="eastAsia" w:ascii="仿宋_GB2312" w:hAnsi="仿宋" w:cs="宋体"/>
          <w:color w:val="auto"/>
          <w:kern w:val="0"/>
          <w:sz w:val="32"/>
          <w:szCs w:val="32"/>
          <w:lang w:val="zh-CN"/>
        </w:rPr>
        <w:t>其中的</w:t>
      </w:r>
      <w:r>
        <w:rPr>
          <w:rFonts w:ascii="仿宋_GB2312" w:hAnsi="仿宋" w:eastAsia="仿宋_GB2312" w:cs="宋体"/>
          <w:color w:val="auto"/>
          <w:kern w:val="0"/>
          <w:sz w:val="32"/>
          <w:szCs w:val="32"/>
          <w:lang w:val="zh-CN"/>
        </w:rPr>
        <w:t>脂肪氧化</w:t>
      </w:r>
      <w:r>
        <w:rPr>
          <w:rFonts w:hint="eastAsia" w:ascii="仿宋_GB2312" w:hAnsi="仿宋" w:cs="宋体"/>
          <w:color w:val="auto"/>
          <w:kern w:val="0"/>
          <w:sz w:val="32"/>
          <w:szCs w:val="32"/>
          <w:lang w:val="zh-CN"/>
        </w:rPr>
        <w:t>或</w:t>
      </w:r>
      <w:r>
        <w:rPr>
          <w:rFonts w:ascii="仿宋_GB2312" w:hAnsi="仿宋" w:eastAsia="仿宋_GB2312" w:cs="宋体"/>
          <w:color w:val="auto"/>
          <w:kern w:val="0"/>
          <w:sz w:val="32"/>
          <w:szCs w:val="32"/>
          <w:lang w:val="zh-CN"/>
        </w:rPr>
        <w:t>生产用油变质，或</w:t>
      </w:r>
      <w:r>
        <w:rPr>
          <w:rFonts w:hint="eastAsia" w:ascii="仿宋_GB2312" w:hAnsi="仿宋" w:cs="宋体"/>
          <w:color w:val="auto"/>
          <w:kern w:val="0"/>
          <w:sz w:val="32"/>
          <w:szCs w:val="32"/>
          <w:lang w:val="zh-CN"/>
        </w:rPr>
        <w:t>因产品</w:t>
      </w:r>
      <w:r>
        <w:rPr>
          <w:rFonts w:ascii="仿宋_GB2312" w:hAnsi="仿宋" w:eastAsia="仿宋_GB2312" w:cs="宋体"/>
          <w:color w:val="auto"/>
          <w:kern w:val="0"/>
          <w:sz w:val="32"/>
          <w:szCs w:val="32"/>
          <w:lang w:val="zh-CN"/>
        </w:rPr>
        <w:t>漏气、储存过程中环境条件控制不当</w:t>
      </w:r>
      <w:r>
        <w:rPr>
          <w:rFonts w:hint="eastAsia" w:ascii="仿宋_GB2312" w:hAnsi="仿宋" w:cs="宋体"/>
          <w:color w:val="auto"/>
          <w:kern w:val="0"/>
          <w:sz w:val="32"/>
          <w:szCs w:val="32"/>
          <w:lang w:val="zh-CN"/>
        </w:rPr>
        <w:t>而</w:t>
      </w:r>
      <w:r>
        <w:rPr>
          <w:rFonts w:ascii="仿宋_GB2312" w:hAnsi="仿宋" w:eastAsia="仿宋_GB2312" w:cs="宋体"/>
          <w:color w:val="auto"/>
          <w:kern w:val="0"/>
          <w:sz w:val="32"/>
          <w:szCs w:val="32"/>
          <w:lang w:val="zh-CN"/>
        </w:rPr>
        <w:t>导致。</w:t>
      </w:r>
    </w:p>
    <w:p>
      <w:pPr>
        <w:rPr>
          <w:rFonts w:ascii="楷体_GB2312" w:hAnsi="宋体" w:eastAsia="楷体_GB2312" w:cs="宋体"/>
          <w:b/>
          <w:kern w:val="0"/>
          <w:sz w:val="32"/>
          <w:szCs w:val="32"/>
        </w:rPr>
      </w:pPr>
      <w:r>
        <w:rPr>
          <w:rFonts w:hint="eastAsia" w:ascii="楷体_GB2312" w:hAnsi="楷体" w:eastAsia="楷体_GB2312" w:cs="宋体"/>
          <w:b/>
          <w:color w:val="000000"/>
          <w:kern w:val="0"/>
          <w:sz w:val="32"/>
          <w:szCs w:val="32"/>
          <w:lang w:eastAsia="zh-CN"/>
        </w:rPr>
        <w:t>（三）</w:t>
      </w:r>
      <w:r>
        <w:rPr>
          <w:rFonts w:hint="eastAsia" w:ascii="楷体_GB2312" w:hAnsi="宋体" w:eastAsia="楷体_GB2312" w:cs="宋体"/>
          <w:b/>
          <w:kern w:val="0"/>
          <w:sz w:val="32"/>
          <w:szCs w:val="32"/>
        </w:rPr>
        <w:t>甜蜜素</w:t>
      </w:r>
    </w:p>
    <w:p>
      <w:pPr>
        <w:pStyle w:val="17"/>
        <w:spacing w:line="560" w:lineRule="exact"/>
        <w:ind w:firstLine="640"/>
        <w:rPr>
          <w:rFonts w:ascii="仿宋_GB2312" w:hAnsi="仿宋" w:eastAsia="仿宋_GB2312"/>
          <w:sz w:val="32"/>
          <w:szCs w:val="32"/>
        </w:rPr>
      </w:pPr>
      <w:r>
        <w:rPr>
          <w:rFonts w:hint="eastAsia" w:ascii="仿宋_GB2312" w:hAnsi="仿宋" w:eastAsia="仿宋_GB2312"/>
          <w:sz w:val="32"/>
          <w:szCs w:val="32"/>
        </w:rPr>
        <w:t>甜蜜素化学名称为环己基</w:t>
      </w:r>
      <w:r>
        <w:rPr>
          <w:rFonts w:hint="eastAsia" w:ascii="仿宋_GB2312" w:eastAsia="仿宋_GB2312"/>
          <w:sz w:val="32"/>
          <w:szCs w:val="32"/>
        </w:rPr>
        <w:fldChar w:fldCharType="begin"/>
      </w:r>
      <w:r>
        <w:rPr>
          <w:rFonts w:hint="eastAsia" w:ascii="仿宋_GB2312" w:eastAsia="仿宋_GB2312"/>
          <w:sz w:val="32"/>
          <w:szCs w:val="32"/>
        </w:rPr>
        <w:instrText xml:space="preserve"> HYPERLINK "http://baike.sogou.com/lemma/ShowInnerLink.htm?lemmaId=5618812" </w:instrText>
      </w:r>
      <w:r>
        <w:rPr>
          <w:rFonts w:hint="eastAsia" w:ascii="仿宋_GB2312" w:eastAsia="仿宋_GB2312"/>
          <w:sz w:val="32"/>
          <w:szCs w:val="32"/>
        </w:rPr>
        <w:fldChar w:fldCharType="separate"/>
      </w:r>
      <w:r>
        <w:rPr>
          <w:rFonts w:hint="eastAsia" w:ascii="仿宋_GB2312" w:hAnsi="仿宋" w:eastAsia="仿宋_GB2312"/>
          <w:sz w:val="32"/>
          <w:szCs w:val="32"/>
        </w:rPr>
        <w:t>氨基磺酸</w:t>
      </w:r>
      <w:r>
        <w:rPr>
          <w:rFonts w:hint="eastAsia" w:ascii="仿宋_GB2312" w:hAnsi="仿宋" w:eastAsia="仿宋_GB2312"/>
          <w:sz w:val="32"/>
          <w:szCs w:val="32"/>
        </w:rPr>
        <w:fldChar w:fldCharType="end"/>
      </w:r>
      <w:r>
        <w:rPr>
          <w:rFonts w:hint="eastAsia" w:ascii="仿宋_GB2312" w:hAnsi="仿宋" w:eastAsia="仿宋_GB2312"/>
          <w:sz w:val="32"/>
          <w:szCs w:val="32"/>
        </w:rPr>
        <w:t>钠，是一种常用</w:t>
      </w:r>
      <w:r>
        <w:fldChar w:fldCharType="begin"/>
      </w:r>
      <w:r>
        <w:instrText xml:space="preserve"> HYPERLINK "http://baike.sogou.com/lemma/ShowInnerLink.htm?lemmaId=130009" </w:instrText>
      </w:r>
      <w:r>
        <w:fldChar w:fldCharType="separate"/>
      </w:r>
      <w:r>
        <w:rPr>
          <w:rFonts w:hint="eastAsia" w:ascii="仿宋_GB2312" w:hAnsi="仿宋" w:eastAsia="仿宋_GB2312"/>
          <w:sz w:val="32"/>
          <w:szCs w:val="32"/>
        </w:rPr>
        <w:t>甜味剂</w:t>
      </w:r>
      <w:r>
        <w:rPr>
          <w:rFonts w:hint="eastAsia" w:ascii="仿宋_GB2312" w:hAnsi="仿宋" w:eastAsia="仿宋_GB2312"/>
          <w:sz w:val="32"/>
          <w:szCs w:val="32"/>
        </w:rPr>
        <w:fldChar w:fldCharType="end"/>
      </w:r>
      <w:r>
        <w:rPr>
          <w:rFonts w:hint="eastAsia" w:ascii="仿宋_GB2312" w:hAnsi="仿宋" w:eastAsia="仿宋_GB2312"/>
          <w:sz w:val="32"/>
          <w:szCs w:val="32"/>
        </w:rPr>
        <w:t>，其甜度是蔗糖的30～40倍，作为非营养型</w:t>
      </w:r>
      <w:r>
        <w:fldChar w:fldCharType="begin"/>
      </w:r>
      <w:r>
        <w:instrText xml:space="preserve"> HYPERLINK "http://baike.sogou.com/lemma/ShowInnerLink.htm?lemmaId=130009&amp;ss_c=ssc.citiao.link" </w:instrText>
      </w:r>
      <w:r>
        <w:fldChar w:fldCharType="separate"/>
      </w:r>
      <w:r>
        <w:rPr>
          <w:rFonts w:hint="eastAsia" w:ascii="仿宋_GB2312" w:hAnsi="仿宋" w:eastAsia="仿宋_GB2312"/>
          <w:sz w:val="32"/>
          <w:szCs w:val="32"/>
        </w:rPr>
        <w:t>甜味剂</w:t>
      </w:r>
      <w:r>
        <w:rPr>
          <w:rFonts w:hint="eastAsia" w:ascii="仿宋_GB2312" w:hAnsi="仿宋" w:eastAsia="仿宋_GB2312"/>
          <w:sz w:val="32"/>
          <w:szCs w:val="32"/>
        </w:rPr>
        <w:fldChar w:fldCharType="end"/>
      </w:r>
      <w:r>
        <w:rPr>
          <w:rFonts w:hint="eastAsia" w:ascii="仿宋_GB2312" w:hAnsi="仿宋"/>
          <w:sz w:val="32"/>
          <w:szCs w:val="32"/>
          <w:lang w:eastAsia="zh-CN"/>
        </w:rPr>
        <w:t>，</w:t>
      </w:r>
      <w:r>
        <w:rPr>
          <w:rFonts w:hint="eastAsia" w:ascii="仿宋_GB2312" w:hAnsi="仿宋" w:eastAsia="仿宋_GB2312"/>
          <w:sz w:val="32"/>
          <w:szCs w:val="32"/>
        </w:rPr>
        <w:t>可广泛用于面包、糕点、饮料、配制酒及蜜饯等各种食品中。《食品安全国家标准 食品添加剂使用标准》（GB 2760-2014）中规定，腌渍的蔬菜中甜蜜素(以环己基氨基磺酸计）应≤1.0g/kg。长期食用甜蜜素不合格的食品，可能会对代谢排毒能力较弱人群的健康产生一定的影响。</w:t>
      </w:r>
    </w:p>
    <w:p>
      <w:pPr>
        <w:spacing w:line="560" w:lineRule="exact"/>
        <w:ind w:firstLine="643" w:firstLineChars="200"/>
        <w:rPr>
          <w:rFonts w:ascii="楷体_GB2312" w:hAnsi="楷体" w:eastAsia="楷体_GB2312" w:cs="仿宋_GB2312"/>
          <w:b/>
          <w:sz w:val="32"/>
          <w:szCs w:val="32"/>
        </w:rPr>
      </w:pPr>
      <w:r>
        <w:rPr>
          <w:rFonts w:hint="eastAsia" w:ascii="楷体_GB2312" w:hAnsi="楷体" w:eastAsia="楷体_GB2312" w:cs="仿宋_GB2312"/>
          <w:b/>
          <w:sz w:val="32"/>
          <w:szCs w:val="32"/>
          <w:lang w:eastAsia="zh-CN"/>
        </w:rPr>
        <w:t>（四）</w:t>
      </w:r>
      <w:r>
        <w:rPr>
          <w:rFonts w:hint="eastAsia" w:ascii="楷体_GB2312" w:hAnsi="楷体" w:eastAsia="楷体_GB2312" w:cs="仿宋_GB2312"/>
          <w:b/>
          <w:sz w:val="32"/>
          <w:szCs w:val="32"/>
        </w:rPr>
        <w:t>苯甲酸及其钠盐</w:t>
      </w:r>
    </w:p>
    <w:p>
      <w:pPr>
        <w:spacing w:line="600" w:lineRule="exact"/>
        <w:ind w:firstLine="640" w:firstLineChars="200"/>
        <w:jc w:val="left"/>
        <w:textAlignment w:val="baseline"/>
        <w:rPr>
          <w:rFonts w:ascii="仿宋_GB2312" w:hAnsi="仿宋" w:eastAsia="仿宋_GB2312"/>
          <w:sz w:val="32"/>
          <w:szCs w:val="32"/>
        </w:rPr>
      </w:pPr>
      <w:r>
        <w:rPr>
          <w:rFonts w:hint="eastAsia" w:ascii="仿宋_GB2312" w:hAnsi="仿宋" w:eastAsia="仿宋_GB2312"/>
          <w:sz w:val="32"/>
          <w:szCs w:val="32"/>
        </w:rPr>
        <w:t>苯甲酸及其钠盐是食品工业中常见的一种防腐保鲜剂，对霉菌、酵母和细菌有较好的抑制作用。《食品安全国家标准食品添加剂使用标准》（GB 2760-2014）中规定，腌渍的蔬菜中苯甲酸及其钠盐（以苯甲酸计）应≤1.0 g/kg</w:t>
      </w:r>
      <w:r>
        <w:rPr>
          <w:rFonts w:hint="eastAsia" w:ascii="仿宋_GB2312" w:hAnsi="仿宋"/>
          <w:sz w:val="32"/>
          <w:szCs w:val="32"/>
          <w:lang w:eastAsia="zh-CN"/>
        </w:rPr>
        <w:t>，蜜饯凉果中</w:t>
      </w:r>
      <w:r>
        <w:rPr>
          <w:rFonts w:hint="eastAsia" w:ascii="仿宋_GB2312" w:hAnsi="仿宋" w:eastAsia="仿宋_GB2312"/>
          <w:sz w:val="32"/>
          <w:szCs w:val="32"/>
        </w:rPr>
        <w:t>苯甲酸及其钠盐（以苯甲酸计）应≤</w:t>
      </w:r>
      <w:r>
        <w:rPr>
          <w:rFonts w:hint="eastAsia" w:ascii="仿宋_GB2312" w:hAnsi="仿宋"/>
          <w:sz w:val="32"/>
          <w:szCs w:val="32"/>
          <w:lang w:val="en-US" w:eastAsia="zh-CN"/>
        </w:rPr>
        <w:t>0.5</w:t>
      </w:r>
      <w:r>
        <w:rPr>
          <w:rFonts w:hint="eastAsia" w:ascii="仿宋_GB2312" w:hAnsi="仿宋" w:eastAsia="仿宋_GB2312"/>
          <w:sz w:val="32"/>
          <w:szCs w:val="32"/>
        </w:rPr>
        <w:t xml:space="preserve"> g/kg。苯甲酸及其钠盐的安全性较高，少量苯甲酸对人体无毒害，可随尿液排出体外，在人体内不会蓄积，但人体若长期过量食入苯甲酸超标的食品可能会对肝脏功能产生一定影响。</w:t>
      </w:r>
    </w:p>
    <w:p>
      <w:pPr>
        <w:spacing w:line="560" w:lineRule="exact"/>
        <w:ind w:firstLine="643" w:firstLineChars="200"/>
        <w:rPr>
          <w:rFonts w:ascii="楷体_GB2312" w:hAnsi="楷体" w:eastAsia="楷体_GB2312" w:cs="仿宋_GB2312"/>
          <w:b/>
          <w:sz w:val="32"/>
          <w:szCs w:val="32"/>
        </w:rPr>
      </w:pPr>
      <w:r>
        <w:rPr>
          <w:rFonts w:hint="eastAsia" w:ascii="楷体_GB2312" w:hAnsi="楷体" w:eastAsia="楷体_GB2312" w:cs="仿宋_GB2312"/>
          <w:b/>
          <w:sz w:val="32"/>
          <w:szCs w:val="32"/>
          <w:lang w:eastAsia="zh-CN"/>
        </w:rPr>
        <w:t>（五）</w:t>
      </w:r>
      <w:r>
        <w:rPr>
          <w:rFonts w:hint="eastAsia" w:ascii="楷体_GB2312" w:hAnsi="楷体" w:eastAsia="楷体_GB2312" w:cs="仿宋_GB2312"/>
          <w:b/>
          <w:sz w:val="32"/>
          <w:szCs w:val="32"/>
        </w:rPr>
        <w:t>柠檬黄</w:t>
      </w:r>
    </w:p>
    <w:p>
      <w:pPr>
        <w:spacing w:line="560" w:lineRule="exact"/>
        <w:ind w:firstLine="640" w:firstLineChars="200"/>
        <w:rPr>
          <w:rFonts w:ascii="仿宋_GB2312" w:hAnsi="仿宋" w:eastAsia="仿宋_GB2312"/>
          <w:sz w:val="32"/>
          <w:szCs w:val="32"/>
        </w:rPr>
      </w:pPr>
      <w:r>
        <w:rPr>
          <w:rFonts w:hint="eastAsia" w:ascii="仿宋_GB2312" w:hAnsi="仿宋" w:eastAsia="仿宋_GB2312"/>
          <w:color w:val="000000" w:themeColor="text1"/>
          <w:sz w:val="32"/>
          <w:szCs w:val="32"/>
          <w14:textFill>
            <w14:solidFill>
              <w14:schemeClr w14:val="tx1"/>
            </w14:solidFill>
          </w14:textFill>
        </w:rPr>
        <w:t>柠檬黄是一种人工合成着色剂。国家标准《食品安全国家标准 食品添加剂使用标准》（GB 2760-2014）中规定</w:t>
      </w:r>
      <w:r>
        <w:rPr>
          <w:rFonts w:hint="eastAsia" w:ascii="仿宋_GB2312" w:hAnsi="仿宋"/>
          <w:color w:val="000000" w:themeColor="text1"/>
          <w:sz w:val="32"/>
          <w:szCs w:val="32"/>
          <w:lang w:eastAsia="zh-CN"/>
          <w14:textFill>
            <w14:solidFill>
              <w14:schemeClr w14:val="tx1"/>
            </w14:solidFill>
          </w14:textFill>
        </w:rPr>
        <w:t>，</w:t>
      </w:r>
      <w:r>
        <w:rPr>
          <w:rFonts w:hint="eastAsia" w:ascii="仿宋_GB2312" w:hAnsi="仿宋" w:eastAsia="仿宋_GB2312"/>
          <w:color w:val="000000" w:themeColor="text1"/>
          <w:sz w:val="32"/>
          <w:szCs w:val="32"/>
          <w14:textFill>
            <w14:solidFill>
              <w14:schemeClr w14:val="tx1"/>
            </w14:solidFill>
          </w14:textFill>
        </w:rPr>
        <w:t>蜜饯凉果中柠檬黄应≤0.1g/kg。合成着色剂没有营养价值,长期过量食用可能对人体健康产生一定影响。</w:t>
      </w:r>
    </w:p>
    <w:p>
      <w:pPr>
        <w:autoSpaceDN w:val="0"/>
        <w:ind w:firstLine="643" w:firstLineChars="200"/>
        <w:rPr>
          <w:rFonts w:ascii="楷体_GB2312" w:hAnsi="楷体" w:eastAsia="楷体_GB2312" w:cs="仿宋_GB2312"/>
          <w:b/>
          <w:sz w:val="32"/>
          <w:szCs w:val="32"/>
        </w:rPr>
      </w:pPr>
      <w:r>
        <w:rPr>
          <w:rFonts w:hint="eastAsia" w:ascii="楷体_GB2312" w:hAnsi="楷体" w:eastAsia="楷体_GB2312" w:cs="仿宋_GB2312"/>
          <w:b/>
          <w:color w:val="000000"/>
          <w:sz w:val="32"/>
          <w:szCs w:val="32"/>
        </w:rPr>
        <w:t>（</w:t>
      </w:r>
      <w:r>
        <w:rPr>
          <w:rFonts w:hint="eastAsia" w:ascii="楷体_GB2312" w:hAnsi="楷体" w:eastAsia="楷体_GB2312" w:cs="仿宋_GB2312"/>
          <w:b/>
          <w:color w:val="000000"/>
          <w:sz w:val="32"/>
          <w:szCs w:val="32"/>
          <w:lang w:eastAsia="zh-CN"/>
        </w:rPr>
        <w:t>六</w:t>
      </w:r>
      <w:r>
        <w:rPr>
          <w:rFonts w:hint="eastAsia" w:ascii="楷体_GB2312" w:hAnsi="楷体" w:eastAsia="楷体_GB2312" w:cs="仿宋_GB2312"/>
          <w:b/>
          <w:color w:val="000000"/>
          <w:sz w:val="32"/>
          <w:szCs w:val="32"/>
        </w:rPr>
        <w:t>）</w:t>
      </w:r>
      <w:r>
        <w:rPr>
          <w:rFonts w:hint="eastAsia" w:ascii="楷体_GB2312" w:hAnsi="楷体" w:eastAsia="楷体_GB2312" w:cs="仿宋_GB2312"/>
          <w:b/>
          <w:sz w:val="32"/>
          <w:szCs w:val="32"/>
        </w:rPr>
        <w:t>铅</w:t>
      </w:r>
    </w:p>
    <w:p>
      <w:pPr>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铅是一种能够在生物体内蓄积且排除缓慢的重金属污染物。</w:t>
      </w:r>
      <w:r>
        <w:rPr>
          <w:rFonts w:hint="eastAsia" w:ascii="仿宋_GB2312" w:hAnsi="仿宋"/>
          <w:color w:val="auto"/>
          <w:sz w:val="32"/>
          <w:szCs w:val="32"/>
          <w:lang w:eastAsia="zh-CN"/>
        </w:rPr>
        <w:t>企业标准</w:t>
      </w:r>
      <w:r>
        <w:rPr>
          <w:rFonts w:hint="eastAsia" w:ascii="仿宋_GB2312" w:hAnsi="仿宋" w:eastAsia="仿宋_GB2312"/>
          <w:color w:val="auto"/>
          <w:sz w:val="32"/>
          <w:szCs w:val="32"/>
        </w:rPr>
        <w:t>《汤料》</w:t>
      </w:r>
      <w:r>
        <w:rPr>
          <w:rFonts w:hint="eastAsia" w:ascii="仿宋_GB2312" w:hAnsi="仿宋"/>
          <w:color w:val="auto"/>
          <w:sz w:val="32"/>
          <w:szCs w:val="32"/>
          <w:lang w:val="en-US" w:eastAsia="zh-CN"/>
        </w:rPr>
        <w:t>[</w:t>
      </w:r>
      <w:r>
        <w:rPr>
          <w:rFonts w:hint="eastAsia" w:ascii="仿宋_GB2312" w:hAnsi="仿宋" w:eastAsia="仿宋_GB2312"/>
          <w:color w:val="auto"/>
          <w:sz w:val="32"/>
          <w:szCs w:val="32"/>
        </w:rPr>
        <w:t>Q/</w:t>
      </w:r>
      <w:r>
        <w:rPr>
          <w:rFonts w:hint="eastAsia" w:ascii="仿宋_GB2312" w:hAnsi="仿宋" w:eastAsia="仿宋_GB2312"/>
          <w:sz w:val="32"/>
          <w:szCs w:val="32"/>
        </w:rPr>
        <w:t>GF0002S-2018(44030463S-2018)</w:t>
      </w:r>
      <w:r>
        <w:rPr>
          <w:rFonts w:hint="eastAsia" w:ascii="仿宋_GB2312" w:hAnsi="仿宋"/>
          <w:sz w:val="32"/>
          <w:szCs w:val="32"/>
          <w:lang w:val="en-US" w:eastAsia="zh-CN"/>
        </w:rPr>
        <w:t>]</w:t>
      </w:r>
      <w:r>
        <w:rPr>
          <w:rFonts w:hint="eastAsia" w:ascii="仿宋_GB2312" w:hAnsi="仿宋" w:eastAsia="仿宋_GB2312"/>
          <w:sz w:val="32"/>
          <w:szCs w:val="32"/>
        </w:rPr>
        <w:t>中规定，</w:t>
      </w:r>
      <w:r>
        <w:rPr>
          <w:rFonts w:hint="eastAsia" w:ascii="仿宋_GB2312" w:hAnsi="仿宋" w:eastAsia="仿宋_GB2312"/>
          <w:sz w:val="32"/>
          <w:szCs w:val="32"/>
          <w:lang w:eastAsia="zh-CN"/>
        </w:rPr>
        <w:t>黑木耳</w:t>
      </w:r>
      <w:r>
        <w:rPr>
          <w:rFonts w:hint="eastAsia" w:ascii="仿宋_GB2312" w:hAnsi="仿宋"/>
          <w:sz w:val="32"/>
          <w:szCs w:val="32"/>
          <w:lang w:eastAsia="zh-CN"/>
        </w:rPr>
        <w:t>汤料</w:t>
      </w:r>
      <w:r>
        <w:rPr>
          <w:rFonts w:hint="eastAsia" w:ascii="仿宋_GB2312" w:hAnsi="仿宋" w:eastAsia="仿宋_GB2312"/>
          <w:sz w:val="32"/>
          <w:szCs w:val="32"/>
        </w:rPr>
        <w:t>中铅(以Pb计)应≤</w:t>
      </w:r>
      <w:r>
        <w:rPr>
          <w:rFonts w:hint="eastAsia" w:ascii="仿宋_GB2312" w:hAnsi="仿宋"/>
          <w:sz w:val="32"/>
          <w:szCs w:val="32"/>
          <w:lang w:val="en-US" w:eastAsia="zh-CN"/>
        </w:rPr>
        <w:t>0.1</w:t>
      </w:r>
      <w:r>
        <w:rPr>
          <w:rFonts w:hint="eastAsia" w:ascii="仿宋_GB2312" w:hAnsi="仿宋" w:eastAsia="仿宋_GB2312"/>
          <w:sz w:val="32"/>
          <w:szCs w:val="32"/>
        </w:rPr>
        <w:t>mg/kg。铅蓄积在体内可能会影响大脑和神经系统，尤其会对儿童造成智力发</w:t>
      </w:r>
      <w:r>
        <w:rPr>
          <w:rFonts w:hint="eastAsia" w:ascii="仿宋_GB2312" w:hAnsi="仿宋" w:eastAsia="仿宋_GB2312"/>
          <w:color w:val="auto"/>
          <w:sz w:val="32"/>
          <w:szCs w:val="32"/>
        </w:rPr>
        <w:t>育障碍和表现行为异常。</w:t>
      </w:r>
    </w:p>
    <w:p>
      <w:pPr>
        <w:spacing w:line="560" w:lineRule="exact"/>
        <w:ind w:left="0" w:leftChars="0" w:firstLine="643" w:firstLineChars="200"/>
        <w:rPr>
          <w:rFonts w:ascii="楷体_GB2312" w:hAnsi="楷体" w:eastAsia="楷体_GB2312" w:cs="仿宋_GB2312"/>
          <w:b/>
          <w:color w:val="auto"/>
          <w:sz w:val="32"/>
          <w:szCs w:val="32"/>
        </w:rPr>
      </w:pPr>
      <w:r>
        <w:rPr>
          <w:rFonts w:hint="eastAsia" w:ascii="楷体_GB2312" w:hAnsi="楷体" w:eastAsia="楷体_GB2312" w:cs="仿宋_GB2312"/>
          <w:b/>
          <w:color w:val="auto"/>
          <w:sz w:val="32"/>
          <w:szCs w:val="32"/>
        </w:rPr>
        <w:t>（</w:t>
      </w:r>
      <w:r>
        <w:rPr>
          <w:rFonts w:hint="eastAsia" w:ascii="楷体_GB2312" w:hAnsi="楷体" w:eastAsia="楷体_GB2312" w:cs="仿宋_GB2312"/>
          <w:b/>
          <w:color w:val="auto"/>
          <w:sz w:val="32"/>
          <w:szCs w:val="32"/>
          <w:lang w:eastAsia="zh-CN"/>
        </w:rPr>
        <w:t>七</w:t>
      </w:r>
      <w:r>
        <w:rPr>
          <w:rFonts w:hint="eastAsia" w:ascii="楷体_GB2312" w:hAnsi="楷体" w:eastAsia="楷体_GB2312" w:cs="仿宋_GB2312"/>
          <w:b/>
          <w:color w:val="auto"/>
          <w:sz w:val="32"/>
          <w:szCs w:val="32"/>
        </w:rPr>
        <w:t>）二氧化硫残留量</w:t>
      </w:r>
    </w:p>
    <w:p>
      <w:pPr>
        <w:spacing w:line="560" w:lineRule="exact"/>
        <w:ind w:firstLine="640" w:firstLineChars="200"/>
      </w:pPr>
      <w:r>
        <w:rPr>
          <w:rFonts w:hint="eastAsia" w:ascii="仿宋_GB2312" w:hAnsi="仿宋" w:eastAsia="仿宋_GB2312" w:cs="宋体"/>
          <w:color w:val="auto"/>
          <w:kern w:val="0"/>
          <w:sz w:val="32"/>
          <w:szCs w:val="32"/>
        </w:rPr>
        <w:t>食品中的二氧化硫残留通常是指二氧化硫、硫磺以及焦亚硫酸钠、焦亚硫酸钾、亚硫酸钠、亚硫酸氢钠、低亚硫酸钠等无机亚硫酸盐残留的统称。</w:t>
      </w:r>
      <w:r>
        <w:rPr>
          <w:rFonts w:hint="eastAsia" w:ascii="仿宋_GB2312" w:hAnsi="仿宋" w:eastAsia="仿宋_GB2312"/>
          <w:color w:val="auto"/>
          <w:sz w:val="32"/>
          <w:szCs w:val="32"/>
        </w:rPr>
        <w:t>《食品安全国家标准 食品添加剂使用标准》（GB 2760-2014）中规定，干制蔬菜中二氧化硫残留量应≤0.2 g/kg。</w:t>
      </w:r>
      <w:r>
        <w:rPr>
          <w:rFonts w:hint="eastAsia" w:ascii="仿宋_GB2312" w:hAnsi="仿宋" w:eastAsia="仿宋_GB2312" w:cs="宋体"/>
          <w:color w:val="auto"/>
          <w:kern w:val="0"/>
          <w:sz w:val="32"/>
          <w:szCs w:val="32"/>
        </w:rPr>
        <w:t>对二氧化硫有过敏反应</w:t>
      </w:r>
      <w:r>
        <w:rPr>
          <w:rFonts w:hint="eastAsia" w:ascii="仿宋_GB2312" w:hAnsi="仿宋" w:eastAsia="仿宋_GB2312" w:cs="宋体"/>
          <w:kern w:val="0"/>
          <w:sz w:val="32"/>
          <w:szCs w:val="32"/>
        </w:rPr>
        <w:t>的人（如哮喘病患者等</w:t>
      </w:r>
      <w:r>
        <w:rPr>
          <w:rFonts w:hint="eastAsia" w:ascii="仿宋_GB2312" w:hAnsi="仿宋" w:eastAsia="仿宋_GB2312" w:cs="宋体"/>
          <w:color w:val="000000"/>
          <w:kern w:val="0"/>
          <w:sz w:val="32"/>
          <w:szCs w:val="32"/>
        </w:rPr>
        <w:t>）</w:t>
      </w:r>
      <w:r>
        <w:rPr>
          <w:rFonts w:hint="eastAsia" w:ascii="仿宋_GB2312" w:hAnsi="仿宋" w:eastAsia="仿宋_GB2312" w:cs="宋体"/>
          <w:kern w:val="0"/>
          <w:sz w:val="32"/>
          <w:szCs w:val="32"/>
        </w:rPr>
        <w:t>若食用二氧化硫超标的食物</w:t>
      </w:r>
      <w:r>
        <w:rPr>
          <w:rFonts w:hint="eastAsia" w:ascii="仿宋_GB2312" w:hAnsi="仿宋" w:eastAsia="仿宋_GB2312" w:cs="宋体"/>
          <w:color w:val="000000"/>
          <w:kern w:val="0"/>
          <w:sz w:val="32"/>
          <w:szCs w:val="32"/>
        </w:rPr>
        <w:t>，可能会出现气喘、头痛或恶心等过敏症状。若长期大量摄入二氧化硫残留超标的食品，则可能对人体健康造成危害，其毒性表现为胃肠道反应，如恶心、呕吐等。此外，还会影响钙吸收，使机体钙丢失。</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黑体" w:hAnsi="黑体" w:eastAsia="黑体" w:cs="仿宋_GB2312"/>
          <w:color w:val="000000"/>
          <w:sz w:val="32"/>
          <w:szCs w:val="32"/>
        </w:rPr>
      </w:pPr>
      <w:r>
        <w:rPr>
          <w:rFonts w:hint="eastAsia" w:ascii="黑体" w:hAnsi="黑体" w:eastAsia="黑体" w:cs="仿宋_GB2312"/>
          <w:color w:val="000000"/>
          <w:sz w:val="32"/>
          <w:szCs w:val="32"/>
        </w:rPr>
        <w:t>二、建议</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707" w:firstLineChars="220"/>
        <w:textAlignment w:val="auto"/>
        <w:rPr>
          <w:rFonts w:ascii="楷体_GB2312" w:hAnsi="楷体" w:eastAsia="楷体_GB2312"/>
          <w:b/>
          <w:sz w:val="32"/>
          <w:szCs w:val="32"/>
        </w:rPr>
      </w:pPr>
      <w:r>
        <w:rPr>
          <w:rFonts w:hint="eastAsia" w:ascii="楷体_GB2312" w:hAnsi="楷体" w:eastAsia="楷体_GB2312"/>
          <w:b/>
          <w:sz w:val="32"/>
          <w:szCs w:val="32"/>
        </w:rPr>
        <w:t>（一）加强原辅料的把控</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hAnsi="仿宋" w:eastAsia="仿宋_GB2312"/>
          <w:sz w:val="32"/>
          <w:szCs w:val="32"/>
        </w:rPr>
      </w:pPr>
      <w:r>
        <w:rPr>
          <w:rFonts w:hint="eastAsia" w:ascii="仿宋_GB2312" w:hAnsi="仿宋" w:eastAsia="仿宋_GB2312"/>
          <w:sz w:val="32"/>
          <w:szCs w:val="32"/>
        </w:rPr>
        <w:t>食品原料的质量与卫生是食品质量安全的前提。食品生产经营单位应加强对所使用的原材料的质量管理，建立进货查验、索证索票和进货台账制度，查验供货者的许可证和包含必要检验项目的食品合格证明文件，不得采购腐败变质、发霉、质量不新鲜的食品原料，确保各种原辅料的质量符合标准的有关规定和要求。</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Style w:val="11"/>
          <w:rFonts w:ascii="楷体_GB2312" w:hAnsi="楷体" w:eastAsia="楷体_GB2312"/>
          <w:color w:val="auto"/>
          <w:sz w:val="32"/>
          <w:szCs w:val="32"/>
          <w:highlight w:val="none"/>
        </w:rPr>
      </w:pPr>
      <w:r>
        <w:rPr>
          <w:rFonts w:hint="eastAsia" w:ascii="楷体_GB2312" w:hAnsi="楷体" w:eastAsia="楷体_GB2312"/>
          <w:b/>
          <w:color w:val="auto"/>
          <w:sz w:val="32"/>
          <w:szCs w:val="32"/>
        </w:rPr>
        <w:t>（二）</w:t>
      </w:r>
      <w:r>
        <w:rPr>
          <w:rStyle w:val="11"/>
          <w:rFonts w:hint="eastAsia" w:ascii="楷体_GB2312" w:hAnsi="楷体" w:eastAsia="楷体_GB2312"/>
          <w:color w:val="auto"/>
          <w:sz w:val="32"/>
          <w:szCs w:val="32"/>
          <w:highlight w:val="none"/>
        </w:rPr>
        <w:t>提高食品添加剂安全使用意识</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部分食品生产经营者为了追求经济效益，对食品添加剂过于依赖，但对食品添加剂使用要求却执行不到位。因此</w:t>
      </w:r>
      <w:r>
        <w:rPr>
          <w:rFonts w:hint="eastAsia" w:ascii="仿宋_GB2312" w:hAnsi="仿宋" w:eastAsia="仿宋_GB2312"/>
          <w:color w:val="auto"/>
          <w:sz w:val="32"/>
          <w:szCs w:val="32"/>
          <w:highlight w:val="none"/>
          <w:lang w:eastAsia="zh-CN"/>
        </w:rPr>
        <w:t>应</w:t>
      </w:r>
      <w:r>
        <w:rPr>
          <w:rFonts w:hint="eastAsia" w:ascii="仿宋_GB2312" w:hAnsi="仿宋" w:eastAsia="仿宋_GB2312"/>
          <w:color w:val="auto"/>
          <w:sz w:val="32"/>
          <w:szCs w:val="32"/>
          <w:highlight w:val="none"/>
        </w:rPr>
        <w:t>落实企业主体，加大对食品生产企业关于食品添加剂的相关法律法规和国家标准知识的宣传力度，进一步宣贯违法添加和滥用食品添加剂行为的危害性以及通过加大惩处等措施来提高食品生产企业食品添加剂安全使用意识。</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textAlignment w:val="auto"/>
        <w:rPr>
          <w:rFonts w:ascii="楷体_GB2312" w:hAnsi="楷体" w:eastAsia="楷体_GB2312"/>
          <w:b/>
          <w:color w:val="auto"/>
          <w:sz w:val="32"/>
          <w:szCs w:val="32"/>
        </w:rPr>
      </w:pPr>
      <w:r>
        <w:rPr>
          <w:rFonts w:hint="eastAsia" w:ascii="楷体_GB2312" w:hAnsi="楷体" w:eastAsia="楷体_GB2312"/>
          <w:b/>
          <w:color w:val="auto"/>
          <w:sz w:val="32"/>
          <w:szCs w:val="32"/>
        </w:rPr>
        <w:t>（</w:t>
      </w:r>
      <w:r>
        <w:rPr>
          <w:rFonts w:hint="eastAsia" w:ascii="楷体_GB2312" w:hAnsi="楷体" w:eastAsia="楷体_GB2312"/>
          <w:b/>
          <w:color w:val="auto"/>
          <w:sz w:val="32"/>
          <w:szCs w:val="32"/>
          <w:lang w:eastAsia="zh-CN"/>
        </w:rPr>
        <w:t>三</w:t>
      </w:r>
      <w:r>
        <w:rPr>
          <w:rFonts w:hint="eastAsia" w:ascii="楷体_GB2312" w:hAnsi="楷体" w:eastAsia="楷体_GB2312"/>
          <w:b/>
          <w:color w:val="auto"/>
          <w:sz w:val="32"/>
          <w:szCs w:val="32"/>
        </w:rPr>
        <w:t>）</w:t>
      </w:r>
      <w:r>
        <w:rPr>
          <w:rFonts w:hint="eastAsia" w:ascii="楷体_GB2312" w:hAnsi="楷体" w:eastAsia="楷体_GB2312"/>
          <w:b/>
          <w:color w:val="auto"/>
          <w:sz w:val="32"/>
          <w:szCs w:val="32"/>
        </w:rPr>
        <w:t>加强食品出厂检验</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黑体" w:hAnsi="黑体" w:eastAsia="黑体" w:cs="仿宋_GB2312"/>
          <w:color w:val="auto"/>
          <w:sz w:val="32"/>
          <w:szCs w:val="32"/>
        </w:rPr>
      </w:pPr>
      <w:r>
        <w:rPr>
          <w:rFonts w:hint="eastAsia" w:eastAsia="仿宋_GB2312"/>
          <w:color w:val="auto"/>
          <w:sz w:val="32"/>
          <w:szCs w:val="32"/>
        </w:rPr>
        <w:t>食品生产企业要强化重视出厂检验的意识，制定切合自身且不断完善的出厂检验制度；建立完善的检测条件针对自身产品进行日常监管，制定出厂检验计划并严格执行，确保生产合格的产品；加强对生产的成品的检测频率，进行自检或送往具有相关资质的检测机构进行检测；建立健全产品召回机制，应对突发产品质量问题。</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jc w:val="both"/>
        <w:textAlignment w:val="auto"/>
        <w:rPr>
          <w:rFonts w:hint="eastAsia" w:ascii="仿宋_GB2312" w:hAnsi="仿宋_GB2312" w:cs="仿宋_GB2312"/>
          <w:sz w:val="32"/>
          <w:szCs w:val="32"/>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方正小标宋简体">
    <w:altName w:val="仿宋_GB2312"/>
    <w:panose1 w:val="02000000000000000000"/>
    <w:charset w:val="86"/>
    <w:family w:val="script"/>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10D4506"/>
    <w:rsid w:val="006B1DCC"/>
    <w:rsid w:val="00724BD2"/>
    <w:rsid w:val="008D6C99"/>
    <w:rsid w:val="00B977A2"/>
    <w:rsid w:val="010D4506"/>
    <w:rsid w:val="017D0269"/>
    <w:rsid w:val="03E020C5"/>
    <w:rsid w:val="03FD00B3"/>
    <w:rsid w:val="07C82C95"/>
    <w:rsid w:val="091C5D20"/>
    <w:rsid w:val="0A101FAB"/>
    <w:rsid w:val="0AEA5DCE"/>
    <w:rsid w:val="0C455D22"/>
    <w:rsid w:val="0C6F4539"/>
    <w:rsid w:val="0CD4225F"/>
    <w:rsid w:val="0EA93008"/>
    <w:rsid w:val="0EC839C2"/>
    <w:rsid w:val="10AD16A7"/>
    <w:rsid w:val="1162065F"/>
    <w:rsid w:val="11B32DA0"/>
    <w:rsid w:val="12AF7645"/>
    <w:rsid w:val="141B2394"/>
    <w:rsid w:val="155219D3"/>
    <w:rsid w:val="16396F4B"/>
    <w:rsid w:val="16A52765"/>
    <w:rsid w:val="176818BF"/>
    <w:rsid w:val="17FA5E44"/>
    <w:rsid w:val="181E6360"/>
    <w:rsid w:val="199008F8"/>
    <w:rsid w:val="19EB104A"/>
    <w:rsid w:val="1B042E72"/>
    <w:rsid w:val="1C2B3ECE"/>
    <w:rsid w:val="1F456A61"/>
    <w:rsid w:val="200B2815"/>
    <w:rsid w:val="231A399D"/>
    <w:rsid w:val="249A66FD"/>
    <w:rsid w:val="25D84592"/>
    <w:rsid w:val="274815F0"/>
    <w:rsid w:val="27D171E0"/>
    <w:rsid w:val="29292876"/>
    <w:rsid w:val="29DF09A6"/>
    <w:rsid w:val="2DA27B95"/>
    <w:rsid w:val="2E172668"/>
    <w:rsid w:val="2FFC71C6"/>
    <w:rsid w:val="323F00BC"/>
    <w:rsid w:val="324700B2"/>
    <w:rsid w:val="36A26439"/>
    <w:rsid w:val="38622AFA"/>
    <w:rsid w:val="387272BF"/>
    <w:rsid w:val="38865B2F"/>
    <w:rsid w:val="3B1904CB"/>
    <w:rsid w:val="3BAB1A67"/>
    <w:rsid w:val="3BFE4DC9"/>
    <w:rsid w:val="3CDD7A17"/>
    <w:rsid w:val="3E051E67"/>
    <w:rsid w:val="3E1079E4"/>
    <w:rsid w:val="3E88008E"/>
    <w:rsid w:val="3E984FE9"/>
    <w:rsid w:val="3EC80CDE"/>
    <w:rsid w:val="44141429"/>
    <w:rsid w:val="464A4562"/>
    <w:rsid w:val="4848609B"/>
    <w:rsid w:val="4864409A"/>
    <w:rsid w:val="49346CC6"/>
    <w:rsid w:val="4B37566A"/>
    <w:rsid w:val="4EBC0748"/>
    <w:rsid w:val="4FED4605"/>
    <w:rsid w:val="52A0415B"/>
    <w:rsid w:val="52FE47AC"/>
    <w:rsid w:val="533A17A5"/>
    <w:rsid w:val="53465E28"/>
    <w:rsid w:val="53FD7C6B"/>
    <w:rsid w:val="551B6EF1"/>
    <w:rsid w:val="59E33FF0"/>
    <w:rsid w:val="59EA54F5"/>
    <w:rsid w:val="5E214E94"/>
    <w:rsid w:val="5E260538"/>
    <w:rsid w:val="5E7004E1"/>
    <w:rsid w:val="6048573D"/>
    <w:rsid w:val="62547A4D"/>
    <w:rsid w:val="63E10B0C"/>
    <w:rsid w:val="65E578BD"/>
    <w:rsid w:val="6792245C"/>
    <w:rsid w:val="6801069F"/>
    <w:rsid w:val="69130912"/>
    <w:rsid w:val="69CB77D8"/>
    <w:rsid w:val="6A323B2C"/>
    <w:rsid w:val="6D731B27"/>
    <w:rsid w:val="6ECD36FF"/>
    <w:rsid w:val="6F1957D5"/>
    <w:rsid w:val="72A04A1F"/>
    <w:rsid w:val="72F24D9D"/>
    <w:rsid w:val="738026E3"/>
    <w:rsid w:val="75CA36CA"/>
    <w:rsid w:val="763955BF"/>
    <w:rsid w:val="77FC16E5"/>
    <w:rsid w:val="78FE0A2F"/>
    <w:rsid w:val="7A7C11A9"/>
    <w:rsid w:val="7B5E04A9"/>
    <w:rsid w:val="7C0735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640" w:firstLineChars="200"/>
      <w:jc w:val="both"/>
    </w:pPr>
    <w:rPr>
      <w:rFonts w:ascii="Calibri" w:hAnsi="Calibri" w:eastAsia="仿宋_GB2312" w:cs="Times New Roman"/>
      <w:kern w:val="2"/>
      <w:sz w:val="32"/>
      <w:szCs w:val="22"/>
      <w:lang w:val="en-US" w:eastAsia="zh-CN" w:bidi="ar-SA"/>
    </w:rPr>
  </w:style>
  <w:style w:type="paragraph" w:styleId="4">
    <w:name w:val="heading 1"/>
    <w:basedOn w:val="1"/>
    <w:next w:val="1"/>
    <w:qFormat/>
    <w:uiPriority w:val="0"/>
    <w:pPr>
      <w:keepNext/>
      <w:keepLines/>
      <w:spacing w:before="340" w:after="330" w:line="576" w:lineRule="auto"/>
      <w:outlineLvl w:val="0"/>
    </w:pPr>
    <w:rPr>
      <w:rFonts w:eastAsia="楷体_GB2312"/>
      <w:b/>
      <w:kern w:val="44"/>
    </w:rPr>
  </w:style>
  <w:style w:type="paragraph" w:styleId="5">
    <w:name w:val="heading 2"/>
    <w:basedOn w:val="1"/>
    <w:next w:val="1"/>
    <w:link w:val="16"/>
    <w:semiHidden/>
    <w:unhideWhenUsed/>
    <w:qFormat/>
    <w:uiPriority w:val="0"/>
    <w:pPr>
      <w:keepNext/>
      <w:keepLines/>
      <w:spacing w:before="260" w:after="260" w:line="416" w:lineRule="auto"/>
      <w:outlineLvl w:val="1"/>
    </w:pPr>
    <w:rPr>
      <w:rFonts w:asciiTheme="majorHAnsi" w:hAnsiTheme="majorHAnsi" w:eastAsiaTheme="majorEastAsia" w:cstheme="majorBidi"/>
      <w:b/>
      <w:bCs/>
      <w:szCs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spacing w:before="0"/>
      <w:ind w:left="420" w:leftChars="200" w:firstLine="420"/>
    </w:pPr>
  </w:style>
  <w:style w:type="paragraph" w:styleId="3">
    <w:name w:val="Body Text Indent"/>
    <w:basedOn w:val="1"/>
    <w:qFormat/>
    <w:uiPriority w:val="0"/>
    <w:pPr>
      <w:spacing w:before="120" w:after="120"/>
      <w:ind w:firstLine="480"/>
    </w:pPr>
    <w:rPr>
      <w:rFonts w:ascii="宋体" w:hAnsi="宋体"/>
      <w:sz w:val="24"/>
      <w:szCs w:val="20"/>
    </w:rPr>
  </w:style>
  <w:style w:type="paragraph" w:styleId="6">
    <w:name w:val="footer"/>
    <w:basedOn w:val="1"/>
    <w:link w:val="15"/>
    <w:qFormat/>
    <w:uiPriority w:val="0"/>
    <w:pPr>
      <w:tabs>
        <w:tab w:val="center" w:pos="4153"/>
        <w:tab w:val="right" w:pos="8306"/>
      </w:tabs>
      <w:snapToGrid w:val="0"/>
      <w:jc w:val="left"/>
    </w:pPr>
    <w:rPr>
      <w:sz w:val="18"/>
      <w:szCs w:val="18"/>
    </w:rPr>
  </w:style>
  <w:style w:type="paragraph" w:styleId="7">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ind w:firstLine="0" w:firstLineChars="0"/>
      <w:jc w:val="left"/>
    </w:pPr>
    <w:rPr>
      <w:rFonts w:ascii="宋体" w:hAnsi="宋体" w:eastAsia="宋体" w:cs="宋体"/>
      <w:kern w:val="0"/>
      <w:sz w:val="24"/>
      <w:szCs w:val="24"/>
    </w:rPr>
  </w:style>
  <w:style w:type="character" w:styleId="11">
    <w:name w:val="Strong"/>
    <w:basedOn w:val="10"/>
    <w:qFormat/>
    <w:uiPriority w:val="22"/>
    <w:rPr>
      <w:b/>
      <w:bCs/>
    </w:rPr>
  </w:style>
  <w:style w:type="character" w:styleId="12">
    <w:name w:val="Hyperlink"/>
    <w:basedOn w:val="10"/>
    <w:qFormat/>
    <w:uiPriority w:val="0"/>
    <w:rPr>
      <w:color w:val="0000FF"/>
      <w:u w:val="single"/>
    </w:rPr>
  </w:style>
  <w:style w:type="paragraph" w:customStyle="1" w:styleId="13">
    <w:name w:val="本文正文"/>
    <w:basedOn w:val="1"/>
    <w:qFormat/>
    <w:uiPriority w:val="0"/>
    <w:pPr>
      <w:spacing w:line="360" w:lineRule="auto"/>
      <w:ind w:firstLine="803"/>
    </w:pPr>
    <w:rPr>
      <w:rFonts w:ascii="宋体" w:hAnsi="宋体"/>
      <w:sz w:val="24"/>
    </w:rPr>
  </w:style>
  <w:style w:type="character" w:customStyle="1" w:styleId="14">
    <w:name w:val="页眉 字符"/>
    <w:basedOn w:val="10"/>
    <w:link w:val="7"/>
    <w:qFormat/>
    <w:uiPriority w:val="0"/>
    <w:rPr>
      <w:rFonts w:ascii="Calibri" w:hAnsi="Calibri" w:eastAsia="仿宋_GB2312"/>
      <w:kern w:val="2"/>
      <w:sz w:val="18"/>
      <w:szCs w:val="18"/>
    </w:rPr>
  </w:style>
  <w:style w:type="character" w:customStyle="1" w:styleId="15">
    <w:name w:val="页脚 字符"/>
    <w:basedOn w:val="10"/>
    <w:link w:val="6"/>
    <w:qFormat/>
    <w:uiPriority w:val="0"/>
    <w:rPr>
      <w:rFonts w:ascii="Calibri" w:hAnsi="Calibri" w:eastAsia="仿宋_GB2312"/>
      <w:kern w:val="2"/>
      <w:sz w:val="18"/>
      <w:szCs w:val="18"/>
    </w:rPr>
  </w:style>
  <w:style w:type="character" w:customStyle="1" w:styleId="16">
    <w:name w:val="标题 2 字符"/>
    <w:basedOn w:val="10"/>
    <w:link w:val="5"/>
    <w:semiHidden/>
    <w:qFormat/>
    <w:uiPriority w:val="0"/>
    <w:rPr>
      <w:rFonts w:asciiTheme="majorHAnsi" w:hAnsiTheme="majorHAnsi" w:eastAsiaTheme="majorEastAsia" w:cstheme="majorBidi"/>
      <w:b/>
      <w:bCs/>
      <w:kern w:val="2"/>
      <w:sz w:val="32"/>
      <w:szCs w:val="32"/>
    </w:rPr>
  </w:style>
  <w:style w:type="paragraph" w:customStyle="1" w:styleId="17">
    <w:name w:val="列出段落2"/>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华测检测认证集团股份有限公司</Company>
  <Pages>8</Pages>
  <Words>600</Words>
  <Characters>3426</Characters>
  <Lines>28</Lines>
  <Paragraphs>8</Paragraphs>
  <TotalTime>20</TotalTime>
  <ScaleCrop>false</ScaleCrop>
  <LinksUpToDate>false</LinksUpToDate>
  <CharactersWithSpaces>4018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2020-12-18T06:54:00Z</dcterms:created>
  <dc:creator>zhenyongwen</dc:creator>
  <cp:lastModifiedBy>陈建维</cp:lastModifiedBy>
  <dcterms:modified xsi:type="dcterms:W3CDTF">2021-03-25T08:24:08Z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2BCBADEB164F420AB7CA92621D404113</vt:lpwstr>
  </property>
</Properties>
</file>