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rPr>
          <w:rFonts w:hint="eastAsia" w:ascii="华文中宋" w:hAnsi="华文中宋" w:eastAsia="华文中宋"/>
          <w:b/>
          <w:sz w:val="44"/>
          <w:szCs w:val="44"/>
        </w:rPr>
      </w:pPr>
      <w:r>
        <w:rPr>
          <w:rFonts w:hint="eastAsia" w:ascii="黑体" w:hAnsi="黑体" w:eastAsia="黑体" w:cs="黑体"/>
          <w:bCs/>
          <w:sz w:val="32"/>
          <w:szCs w:val="32"/>
        </w:rPr>
        <w:t>附件</w:t>
      </w:r>
      <w:r>
        <w:rPr>
          <w:rFonts w:hint="eastAsia" w:ascii="黑体" w:hAnsi="黑体" w:eastAsia="黑体" w:cs="黑体"/>
          <w:bCs/>
          <w:sz w:val="32"/>
          <w:szCs w:val="32"/>
          <w:lang w:val="en-US" w:eastAsia="zh-CN"/>
        </w:rPr>
        <w:t>7</w:t>
      </w:r>
    </w:p>
    <w:p>
      <w:pPr>
        <w:keepNext w:val="0"/>
        <w:keepLines w:val="0"/>
        <w:pageBreakBefore w:val="0"/>
        <w:widowControl w:val="0"/>
        <w:kinsoku/>
        <w:wordWrap/>
        <w:overflowPunct/>
        <w:topLinePunct w:val="0"/>
        <w:autoSpaceDE/>
        <w:autoSpaceDN/>
        <w:bidi w:val="0"/>
        <w:adjustRightInd/>
        <w:snapToGrid w:val="0"/>
        <w:spacing w:before="625" w:beforeLines="200" w:after="313" w:afterLines="100" w:line="240" w:lineRule="auto"/>
        <w:ind w:firstLine="0" w:firstLineChars="0"/>
        <w:jc w:val="center"/>
        <w:textAlignment w:val="auto"/>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202</w:t>
      </w:r>
      <w:r>
        <w:rPr>
          <w:rFonts w:hint="eastAsia" w:ascii="方正小标宋简体" w:hAnsi="方正小标宋简体" w:eastAsia="方正小标宋简体" w:cs="方正小标宋简体"/>
          <w:b/>
          <w:bCs/>
          <w:sz w:val="44"/>
          <w:szCs w:val="44"/>
          <w:lang w:val="en-US" w:eastAsia="zh-CN"/>
        </w:rPr>
        <w:t>1</w:t>
      </w:r>
      <w:r>
        <w:rPr>
          <w:rFonts w:hint="eastAsia" w:ascii="方正小标宋简体" w:hAnsi="方正小标宋简体" w:eastAsia="方正小标宋简体" w:cs="方正小标宋简体"/>
          <w:b/>
          <w:bCs/>
          <w:sz w:val="44"/>
          <w:szCs w:val="44"/>
        </w:rPr>
        <w:t>年知识产权培训课程资助项目</w:t>
      </w:r>
      <w:r>
        <w:rPr>
          <w:rFonts w:hint="eastAsia" w:ascii="方正小标宋简体" w:hAnsi="方正小标宋简体" w:eastAsia="方正小标宋简体" w:cs="方正小标宋简体"/>
          <w:b/>
          <w:bCs/>
          <w:sz w:val="44"/>
          <w:szCs w:val="44"/>
        </w:rPr>
        <w:br w:type="textWrapping"/>
      </w:r>
      <w:r>
        <w:rPr>
          <w:rFonts w:hint="eastAsia" w:ascii="方正小标宋简体" w:hAnsi="方正小标宋简体" w:eastAsia="方正小标宋简体" w:cs="方正小标宋简体"/>
          <w:b/>
          <w:bCs/>
          <w:sz w:val="44"/>
          <w:szCs w:val="44"/>
          <w:lang w:val="en-US" w:eastAsia="zh-CN"/>
        </w:rPr>
        <w:t>申</w:t>
      </w:r>
      <w:r>
        <w:rPr>
          <w:rFonts w:hint="eastAsia" w:ascii="方正小标宋简体" w:hAnsi="方正小标宋简体" w:eastAsia="方正小标宋简体" w:cs="方正小标宋简体"/>
          <w:b/>
          <w:bCs/>
          <w:sz w:val="44"/>
          <w:szCs w:val="44"/>
        </w:rPr>
        <w:t>报指南（</w:t>
      </w:r>
      <w:r>
        <w:rPr>
          <w:rFonts w:hint="eastAsia" w:ascii="方正小标宋简体" w:hAnsi="方正小标宋简体" w:eastAsia="方正小标宋简体" w:cs="方正小标宋简体"/>
          <w:b/>
          <w:bCs/>
          <w:sz w:val="44"/>
          <w:szCs w:val="44"/>
          <w:lang w:eastAsia="zh-CN"/>
        </w:rPr>
        <w:t>征求意见修订稿</w:t>
      </w:r>
      <w:r>
        <w:rPr>
          <w:rFonts w:hint="eastAsia" w:ascii="方正小标宋简体" w:hAnsi="方正小标宋简体" w:eastAsia="方正小标宋简体" w:cs="方正小标宋简体"/>
          <w:b/>
          <w:bCs/>
          <w:sz w:val="44"/>
          <w:szCs w:val="44"/>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一、申报内容</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深圳市知识产权培训课程资助。</w:t>
      </w:r>
    </w:p>
    <w:p>
      <w:pPr>
        <w:pStyle w:val="2"/>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560" w:lineRule="exact"/>
        <w:ind w:leftChars="0" w:firstLine="640" w:firstLineChars="200"/>
        <w:jc w:val="both"/>
        <w:textAlignment w:val="auto"/>
        <w:rPr>
          <w:rFonts w:hint="eastAsia" w:ascii="Times New Roman" w:hAnsi="Times New Roman" w:eastAsia="黑体" w:cs="仿宋_GB2312"/>
          <w:b w:val="0"/>
          <w:bCs w:val="0"/>
          <w:sz w:val="32"/>
          <w:szCs w:val="32"/>
          <w:lang w:val="en-US" w:eastAsia="zh-CN"/>
        </w:rPr>
      </w:pPr>
      <w:r>
        <w:rPr>
          <w:rFonts w:hint="eastAsia" w:ascii="Times New Roman" w:hAnsi="Times New Roman" w:eastAsia="黑体" w:cs="仿宋_GB2312"/>
          <w:b w:val="0"/>
          <w:bCs w:val="0"/>
          <w:sz w:val="32"/>
          <w:szCs w:val="32"/>
          <w:lang w:val="en-US" w:eastAsia="zh-CN"/>
        </w:rPr>
        <w:t>二、设定依据</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lang w:eastAsia="zh-CN"/>
        </w:rPr>
        <w:t>（一）</w:t>
      </w:r>
      <w:r>
        <w:rPr>
          <w:rFonts w:hint="eastAsia" w:ascii="仿宋_GB2312" w:eastAsia="仿宋_GB2312"/>
          <w:sz w:val="32"/>
          <w:szCs w:val="32"/>
        </w:rPr>
        <w:t>《深圳市市场监督管理局专项资金管理办法》，深圳市市场监督管理局、深圳市财政局，深市监规〔2020〕3号；</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lang w:eastAsia="zh-CN"/>
        </w:rPr>
        <w:t>（二）</w:t>
      </w:r>
      <w:r>
        <w:rPr>
          <w:rFonts w:hint="eastAsia" w:ascii="仿宋_GB2312" w:eastAsia="仿宋_GB2312"/>
          <w:sz w:val="32"/>
          <w:szCs w:val="32"/>
        </w:rPr>
        <w:t>《深圳市市场监督管理局知识产权领域专项资金操作规程》，深圳市市场监督管理局，深市监规〔2019〕10号。</w:t>
      </w:r>
    </w:p>
    <w:p>
      <w:pPr>
        <w:pStyle w:val="2"/>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560" w:lineRule="exact"/>
        <w:ind w:leftChars="0" w:firstLine="640" w:firstLineChars="200"/>
        <w:jc w:val="both"/>
        <w:textAlignment w:val="auto"/>
        <w:rPr>
          <w:rFonts w:hint="eastAsia" w:ascii="Times New Roman" w:hAnsi="Times New Roman" w:eastAsia="黑体" w:cs="仿宋_GB2312"/>
          <w:b w:val="0"/>
          <w:bCs w:val="0"/>
          <w:sz w:val="32"/>
          <w:szCs w:val="32"/>
          <w:lang w:val="en-US" w:eastAsia="zh-CN"/>
        </w:rPr>
      </w:pPr>
      <w:r>
        <w:rPr>
          <w:rFonts w:hint="eastAsia" w:ascii="Times New Roman" w:hAnsi="Times New Roman" w:eastAsia="黑体" w:cs="仿宋_GB2312"/>
          <w:b w:val="0"/>
          <w:bCs w:val="0"/>
          <w:sz w:val="32"/>
          <w:szCs w:val="32"/>
          <w:lang w:val="en-US" w:eastAsia="zh-CN"/>
        </w:rPr>
        <w:t>三、资助数量</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lang w:eastAsia="zh-CN"/>
        </w:rPr>
        <w:t>实施知识产权培训课程项目资助。资助标准如下：</w:t>
      </w:r>
      <w:r>
        <w:rPr>
          <w:rFonts w:hint="eastAsia" w:ascii="仿宋_GB2312" w:eastAsia="仿宋_GB2312"/>
          <w:sz w:val="32"/>
          <w:szCs w:val="32"/>
        </w:rPr>
        <w:t>全市每年评选不超过30项，每项资助不超过20万元，资助总额不超过400万。</w:t>
      </w:r>
    </w:p>
    <w:p>
      <w:pPr>
        <w:pStyle w:val="2"/>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560" w:lineRule="exact"/>
        <w:ind w:leftChars="0" w:firstLine="640" w:firstLineChars="200"/>
        <w:jc w:val="both"/>
        <w:textAlignment w:val="auto"/>
        <w:rPr>
          <w:rFonts w:hint="eastAsia" w:ascii="Times New Roman" w:hAnsi="Times New Roman" w:eastAsia="黑体" w:cs="仿宋_GB2312"/>
          <w:b w:val="0"/>
          <w:bCs w:val="0"/>
          <w:sz w:val="32"/>
          <w:szCs w:val="32"/>
          <w:lang w:val="en-US" w:eastAsia="zh-CN"/>
        </w:rPr>
      </w:pPr>
      <w:r>
        <w:rPr>
          <w:rFonts w:hint="eastAsia" w:ascii="Times New Roman" w:hAnsi="Times New Roman" w:eastAsia="黑体" w:cs="仿宋_GB2312"/>
          <w:b w:val="0"/>
          <w:bCs w:val="0"/>
          <w:sz w:val="32"/>
          <w:szCs w:val="32"/>
          <w:lang w:val="en-US" w:eastAsia="zh-CN"/>
        </w:rPr>
        <w:t>四、申请条件</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lang w:val="en-US" w:eastAsia="zh-CN"/>
        </w:rPr>
        <w:t>深圳市知识产权培训课程资助</w:t>
      </w:r>
      <w:r>
        <w:rPr>
          <w:rFonts w:hint="eastAsia" w:ascii="仿宋_GB2312" w:eastAsia="仿宋_GB2312"/>
          <w:sz w:val="32"/>
          <w:szCs w:val="32"/>
        </w:rPr>
        <w:t>申请人应同时满足以下条件：</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一</w:t>
      </w:r>
      <w:r>
        <w:rPr>
          <w:rFonts w:hint="eastAsia" w:ascii="仿宋_GB2312" w:eastAsia="仿宋_GB2312"/>
          <w:sz w:val="32"/>
          <w:szCs w:val="32"/>
          <w:lang w:eastAsia="zh-CN"/>
        </w:rPr>
        <w:t>）</w:t>
      </w:r>
      <w:r>
        <w:rPr>
          <w:rFonts w:hint="eastAsia" w:ascii="仿宋_GB2312" w:eastAsia="仿宋_GB2312"/>
          <w:sz w:val="32"/>
          <w:szCs w:val="32"/>
        </w:rPr>
        <w:t>属于在深圳市行政区域（含深汕特别合作区）</w:t>
      </w:r>
      <w:r>
        <w:rPr>
          <w:rFonts w:hint="eastAsia" w:ascii="仿宋_GB2312" w:eastAsia="仿宋_GB2312"/>
          <w:sz w:val="32"/>
          <w:szCs w:val="32"/>
          <w:lang w:eastAsia="zh-CN"/>
        </w:rPr>
        <w:t>内</w:t>
      </w:r>
      <w:r>
        <w:rPr>
          <w:rFonts w:hint="eastAsia" w:ascii="仿宋_GB2312" w:eastAsia="仿宋_GB2312"/>
          <w:sz w:val="32"/>
          <w:szCs w:val="32"/>
        </w:rPr>
        <w:t>依法登记注册的企事业单位和社会组织</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二</w:t>
      </w:r>
      <w:r>
        <w:rPr>
          <w:rFonts w:hint="eastAsia" w:ascii="仿宋_GB2312" w:eastAsia="仿宋_GB2312"/>
          <w:sz w:val="32"/>
          <w:szCs w:val="32"/>
          <w:lang w:eastAsia="zh-CN"/>
        </w:rPr>
        <w:t>）</w:t>
      </w:r>
      <w:r>
        <w:rPr>
          <w:rFonts w:hint="eastAsia" w:ascii="仿宋_GB2312" w:eastAsia="仿宋_GB2312"/>
          <w:sz w:val="32"/>
          <w:szCs w:val="32"/>
        </w:rPr>
        <w:t>申请培训的主题应为国内外知识产权创造、运用、管理、保护、服务等方面相关内容，并形成培训课程实施方案（可提供多期并具有层次的培训课程实施方案）</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三</w:t>
      </w:r>
      <w:r>
        <w:rPr>
          <w:rFonts w:hint="eastAsia" w:ascii="仿宋_GB2312" w:eastAsia="仿宋_GB2312"/>
          <w:sz w:val="32"/>
          <w:szCs w:val="32"/>
          <w:lang w:eastAsia="zh-CN"/>
        </w:rPr>
        <w:t>）</w:t>
      </w:r>
      <w:r>
        <w:rPr>
          <w:rFonts w:hint="eastAsia" w:ascii="仿宋_GB2312" w:eastAsia="仿宋_GB2312"/>
          <w:sz w:val="32"/>
          <w:szCs w:val="32"/>
        </w:rPr>
        <w:t>申请培训的授课老师为国家、省、市知识产权专家库成员、国家知识产权领军人才或者百千万知识产权人才等。</w:t>
      </w:r>
    </w:p>
    <w:p>
      <w:pPr>
        <w:pStyle w:val="2"/>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560" w:lineRule="exact"/>
        <w:ind w:leftChars="0" w:firstLine="640" w:firstLineChars="200"/>
        <w:jc w:val="both"/>
        <w:textAlignment w:val="auto"/>
        <w:rPr>
          <w:rFonts w:hint="eastAsia" w:ascii="Times New Roman" w:hAnsi="Times New Roman" w:eastAsia="黑体" w:cs="仿宋_GB2312"/>
          <w:b w:val="0"/>
          <w:bCs w:val="0"/>
          <w:sz w:val="32"/>
          <w:szCs w:val="32"/>
          <w:lang w:val="en-US" w:eastAsia="zh-CN"/>
        </w:rPr>
      </w:pPr>
      <w:r>
        <w:rPr>
          <w:rFonts w:hint="eastAsia" w:ascii="Times New Roman" w:hAnsi="Times New Roman" w:eastAsia="黑体" w:cs="仿宋_GB2312"/>
          <w:b w:val="0"/>
          <w:bCs w:val="0"/>
          <w:sz w:val="32"/>
          <w:szCs w:val="32"/>
          <w:lang w:val="en-US" w:eastAsia="zh-CN"/>
        </w:rPr>
        <w:t>五、不予资助情形</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lang w:eastAsia="zh-CN"/>
        </w:rPr>
        <w:t>申请人</w:t>
      </w:r>
      <w:r>
        <w:rPr>
          <w:rFonts w:hint="eastAsia" w:ascii="仿宋_GB2312" w:eastAsia="仿宋_GB2312"/>
          <w:sz w:val="32"/>
          <w:szCs w:val="32"/>
        </w:rPr>
        <w:t>有下列情形之一的，不予资助</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lang w:eastAsia="zh-CN"/>
        </w:rPr>
        <w:t>（一）</w:t>
      </w:r>
      <w:r>
        <w:rPr>
          <w:rFonts w:hint="eastAsia" w:ascii="仿宋_GB2312" w:eastAsia="仿宋_GB2312"/>
          <w:sz w:val="32"/>
          <w:szCs w:val="32"/>
        </w:rPr>
        <w:t>不符合相关法律法规、专项资金管理办法、操作规程和申报指南要求的</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lang w:eastAsia="zh-CN"/>
        </w:rPr>
        <w:t>（二）</w:t>
      </w:r>
      <w:r>
        <w:rPr>
          <w:rFonts w:hint="eastAsia" w:ascii="仿宋_GB2312" w:eastAsia="仿宋_GB2312"/>
          <w:sz w:val="32"/>
          <w:szCs w:val="32"/>
        </w:rPr>
        <w:t>被列入市财政专项资金违规、失信信息名单的</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lang w:eastAsia="zh-CN"/>
        </w:rPr>
        <w:t>（三）</w:t>
      </w:r>
      <w:r>
        <w:rPr>
          <w:rFonts w:hint="eastAsia" w:ascii="仿宋_GB2312" w:eastAsia="仿宋_GB2312"/>
          <w:sz w:val="32"/>
          <w:szCs w:val="32"/>
        </w:rPr>
        <w:t>经查询深圳市信用网，被列入国家有关部门的《严重违法失信企业名单》</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lang w:eastAsia="zh-CN"/>
        </w:rPr>
        <w:t>（四）</w:t>
      </w:r>
      <w:r>
        <w:rPr>
          <w:rFonts w:hint="eastAsia" w:ascii="仿宋_GB2312" w:eastAsia="仿宋_GB2312"/>
          <w:sz w:val="32"/>
          <w:szCs w:val="32"/>
        </w:rPr>
        <w:t>拒不执行生效的知识产权行政处理决定或者司法裁判的，或侵犯他人知识产权构成犯罪的</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lang w:eastAsia="zh-CN"/>
        </w:rPr>
        <w:t>（五）</w:t>
      </w:r>
      <w:r>
        <w:rPr>
          <w:rFonts w:hint="eastAsia" w:ascii="仿宋_GB2312" w:eastAsia="仿宋_GB2312"/>
          <w:sz w:val="32"/>
          <w:szCs w:val="32"/>
        </w:rPr>
        <w:t>经查询人民法院公告网，发现已进入破产清算程序的</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lang w:eastAsia="zh-CN"/>
        </w:rPr>
        <w:t>（六）</w:t>
      </w:r>
      <w:r>
        <w:rPr>
          <w:rFonts w:hint="eastAsia" w:ascii="仿宋_GB2312" w:eastAsia="仿宋_GB2312"/>
          <w:sz w:val="32"/>
          <w:szCs w:val="32"/>
        </w:rPr>
        <w:t>其申请项目已根据《深圳市知识产权运营服务体系建设专项资金操作规程》（深市监规〔2019〕6号）等有关规定给予相同或类似资助的。</w:t>
      </w:r>
    </w:p>
    <w:p>
      <w:pPr>
        <w:pStyle w:val="2"/>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560" w:lineRule="exact"/>
        <w:ind w:leftChars="0" w:firstLine="640" w:firstLineChars="200"/>
        <w:jc w:val="both"/>
        <w:textAlignment w:val="auto"/>
        <w:rPr>
          <w:rFonts w:hint="eastAsia" w:ascii="Times New Roman" w:hAnsi="Times New Roman" w:eastAsia="黑体" w:cs="仿宋_GB2312"/>
          <w:b w:val="0"/>
          <w:bCs w:val="0"/>
          <w:sz w:val="32"/>
          <w:szCs w:val="32"/>
          <w:lang w:val="en-US" w:eastAsia="zh-CN"/>
        </w:rPr>
      </w:pPr>
      <w:r>
        <w:rPr>
          <w:rFonts w:hint="eastAsia" w:ascii="Times New Roman" w:hAnsi="Times New Roman" w:eastAsia="黑体" w:cs="仿宋_GB2312"/>
          <w:b w:val="0"/>
          <w:bCs w:val="0"/>
          <w:sz w:val="32"/>
          <w:szCs w:val="32"/>
          <w:lang w:val="en-US" w:eastAsia="zh-CN"/>
        </w:rPr>
        <w:t>六、申报说明</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jc w:val="both"/>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（一）培训主题</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年知识产权培训课程资助项目分为限定主题及自选主题两种，具体参照202</w:t>
      </w:r>
      <w:r>
        <w:rPr>
          <w:rFonts w:hint="eastAsia" w:ascii="仿宋_GB2312" w:eastAsia="仿宋_GB2312"/>
          <w:sz w:val="32"/>
          <w:szCs w:val="32"/>
          <w:lang w:val="en-US" w:eastAsia="zh-CN"/>
        </w:rPr>
        <w:t>1</w:t>
      </w:r>
      <w:r>
        <w:rPr>
          <w:rFonts w:hint="eastAsia" w:ascii="仿宋_GB2312" w:eastAsia="仿宋_GB2312"/>
          <w:sz w:val="32"/>
          <w:szCs w:val="32"/>
        </w:rPr>
        <w:t>年知识产权培训课程资助项目清单。</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jc w:val="both"/>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（二）培训层次</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年知识产权培训课程资助项目申报按照培养的对象、培训内容及实施方案分为初级、中级及高级培训三个层次。</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初级为限定主题，主要为新入职员工、研发人员等提供知识产权基础能力提升培训。</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中级为限定主题及自选主题，主要为企事业单位知识产权管理人员、研发人员等提供知识产权政策解读、风险防范和能力提升等系列培训。</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高级为限定主题及自选主题，主要为企业知识产权部门负责人、服务机构管理人员等提供国内外知识产权制度分析、知识产权战略布局等系列培训。</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jc w:val="both"/>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（三）培训要求</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培训实际授课时间原则上每期不少于3小时，每期培训人数</w:t>
      </w:r>
      <w:r>
        <w:rPr>
          <w:rFonts w:hint="eastAsia" w:ascii="仿宋_GB2312" w:eastAsia="仿宋_GB2312"/>
          <w:sz w:val="32"/>
          <w:szCs w:val="32"/>
          <w:lang w:val="en-US" w:eastAsia="zh-CN"/>
        </w:rPr>
        <w:t>50</w:t>
      </w:r>
      <w:r>
        <w:rPr>
          <w:rFonts w:hint="eastAsia" w:ascii="仿宋_GB2312" w:eastAsia="仿宋_GB2312"/>
          <w:sz w:val="32"/>
          <w:szCs w:val="32"/>
        </w:rPr>
        <w:t>人以上。</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因授课老师时间安排或培训人数需做调整的，请在申报材料中予以明确。</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lang w:eastAsia="zh-CN"/>
        </w:rPr>
        <w:t>（四）</w:t>
      </w:r>
      <w:r>
        <w:rPr>
          <w:rFonts w:hint="eastAsia" w:ascii="仿宋_GB2312" w:eastAsia="仿宋_GB2312"/>
          <w:sz w:val="32"/>
          <w:szCs w:val="32"/>
        </w:rPr>
        <w:t>以上项目资助标准，此资助项目每年定期集中申报，同一申请人申报该项目不超过2项。</w:t>
      </w:r>
    </w:p>
    <w:p>
      <w:pPr>
        <w:pStyle w:val="2"/>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560" w:lineRule="exact"/>
        <w:ind w:leftChars="0" w:firstLine="640" w:firstLineChars="200"/>
        <w:jc w:val="both"/>
        <w:textAlignment w:val="auto"/>
        <w:rPr>
          <w:rFonts w:hint="eastAsia" w:ascii="Times New Roman" w:hAnsi="Times New Roman" w:eastAsia="黑体" w:cs="仿宋_GB2312"/>
          <w:b w:val="0"/>
          <w:bCs w:val="0"/>
          <w:sz w:val="32"/>
          <w:szCs w:val="32"/>
          <w:lang w:val="en-US" w:eastAsia="zh-CN"/>
        </w:rPr>
      </w:pPr>
      <w:r>
        <w:rPr>
          <w:rFonts w:hint="eastAsia" w:ascii="Times New Roman" w:hAnsi="Times New Roman" w:eastAsia="黑体" w:cs="仿宋_GB2312"/>
          <w:b w:val="0"/>
          <w:bCs w:val="0"/>
          <w:sz w:val="32"/>
          <w:szCs w:val="32"/>
          <w:lang w:val="en-US" w:eastAsia="zh-CN"/>
        </w:rPr>
        <w:t>七、申请材料</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jc w:val="both"/>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（一）项目申请书</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lang w:eastAsia="zh-CN"/>
        </w:rPr>
        <w:t>在申报系统上在线填写项目申报信息。</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jc w:val="both"/>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（二）申请</w:t>
      </w:r>
      <w:r>
        <w:rPr>
          <w:rFonts w:hint="eastAsia" w:ascii="楷体_GB2312" w:hAnsi="楷体_GB2312" w:eastAsia="楷体_GB2312" w:cs="楷体_GB2312"/>
          <w:b/>
          <w:bCs/>
          <w:sz w:val="32"/>
          <w:szCs w:val="32"/>
          <w:lang w:val="en-US" w:eastAsia="zh-CN"/>
        </w:rPr>
        <w:t>人</w:t>
      </w:r>
      <w:r>
        <w:rPr>
          <w:rFonts w:hint="eastAsia" w:ascii="楷体_GB2312" w:hAnsi="楷体_GB2312" w:eastAsia="楷体_GB2312" w:cs="楷体_GB2312"/>
          <w:b/>
          <w:bCs/>
          <w:sz w:val="32"/>
          <w:szCs w:val="32"/>
          <w:lang w:eastAsia="zh-CN"/>
        </w:rPr>
        <w:t>主体资格材料</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1</w:t>
      </w:r>
      <w:r>
        <w:rPr>
          <w:rFonts w:hint="eastAsia" w:ascii="仿宋_GB2312" w:eastAsia="仿宋_GB2312"/>
          <w:sz w:val="32"/>
          <w:szCs w:val="32"/>
        </w:rPr>
        <w:t>．企业</w:t>
      </w:r>
      <w:r>
        <w:rPr>
          <w:rFonts w:hint="eastAsia" w:ascii="仿宋_GB2312" w:eastAsia="仿宋_GB2312"/>
          <w:sz w:val="32"/>
          <w:szCs w:val="32"/>
          <w:lang w:eastAsia="zh-CN"/>
        </w:rPr>
        <w:t>申请人</w:t>
      </w:r>
      <w:r>
        <w:rPr>
          <w:rFonts w:hint="eastAsia" w:ascii="仿宋_GB2312" w:eastAsia="仿宋_GB2312"/>
          <w:sz w:val="32"/>
          <w:szCs w:val="32"/>
        </w:rPr>
        <w:t>无需提供</w:t>
      </w:r>
      <w:r>
        <w:rPr>
          <w:rFonts w:hint="eastAsia" w:ascii="仿宋_GB2312" w:eastAsia="仿宋_GB2312"/>
          <w:sz w:val="32"/>
          <w:szCs w:val="32"/>
          <w:lang w:eastAsia="zh-CN"/>
        </w:rPr>
        <w:t>营业执照，将由系统后台进行信息核实。</w:t>
      </w:r>
      <w:r>
        <w:rPr>
          <w:rFonts w:hint="eastAsia" w:ascii="仿宋_GB2312" w:eastAsia="仿宋_GB2312"/>
          <w:sz w:val="32"/>
          <w:szCs w:val="32"/>
        </w:rPr>
        <w:t>非企业申请人根据单位性质，提交事业单位法人证书、民办非企业单位登记证书等主体资格材料的原件彩色扫描件（</w:t>
      </w:r>
      <w:r>
        <w:rPr>
          <w:rFonts w:hint="eastAsia" w:ascii="仿宋_GB2312" w:eastAsia="仿宋_GB2312"/>
          <w:sz w:val="32"/>
          <w:szCs w:val="32"/>
          <w:lang w:eastAsia="zh-CN"/>
        </w:rPr>
        <w:t>pdf</w:t>
      </w:r>
      <w:r>
        <w:rPr>
          <w:rFonts w:hint="eastAsia" w:ascii="仿宋_GB2312" w:eastAsia="仿宋_GB2312"/>
          <w:sz w:val="32"/>
          <w:szCs w:val="32"/>
        </w:rPr>
        <w:t>格式）或者加盖公章的复印件</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申请人名称等事项内容发生变更的，企业申请人无须额外提交证明，非企业申请人（事业单位、社会组织等）须提交主管部门出具的有关变更证明文件，提交形式为原件或者加盖申请人公章的复印件的彩色扫描件（</w:t>
      </w:r>
      <w:r>
        <w:rPr>
          <w:rFonts w:hint="eastAsia" w:ascii="仿宋_GB2312" w:eastAsia="仿宋_GB2312"/>
          <w:sz w:val="32"/>
          <w:szCs w:val="32"/>
          <w:lang w:eastAsia="zh-CN"/>
        </w:rPr>
        <w:t>pdf</w:t>
      </w:r>
      <w:r>
        <w:rPr>
          <w:rFonts w:hint="eastAsia" w:ascii="仿宋_GB2312" w:eastAsia="仿宋_GB2312"/>
          <w:sz w:val="32"/>
          <w:szCs w:val="32"/>
        </w:rPr>
        <w:t>格式）。</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2．申请人自行申报的，需提交《申报项目委托情况申明》（参照申报系统材料清单自检范本表格模版）、经办人的身份证（正反面）、社保卡（正反面）和近三个月社保缴纳费用明细表（能清晰显示社保缴纳单位全称，且与申请人名称一致），上述材料（原件或复印件）均需加盖申请人清晰公章，提交形式为彩色扫描件（</w:t>
      </w:r>
      <w:r>
        <w:rPr>
          <w:rFonts w:hint="eastAsia" w:ascii="仿宋_GB2312" w:eastAsia="仿宋_GB2312"/>
          <w:sz w:val="32"/>
          <w:szCs w:val="32"/>
          <w:lang w:eastAsia="zh-CN"/>
        </w:rPr>
        <w:t>pdf</w:t>
      </w:r>
      <w:r>
        <w:rPr>
          <w:rFonts w:hint="eastAsia" w:ascii="仿宋_GB2312" w:eastAsia="仿宋_GB2312"/>
          <w:sz w:val="32"/>
          <w:szCs w:val="32"/>
        </w:rPr>
        <w:t>格式）。</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委托代办机构申报的，应当提交申请人和被委托代办机构共同出具的《申报项目委托情况申明》（参照申报系统材料清单自检范本表格模版）、代办机构经办人的身份证（正反面）、社保卡（正反面）和近三个月社保缴纳费用明细表（能清晰显示社保缴纳单位全称，且与代办机构名称一致），上述材料（原件或复印件）均需加盖申请人和代办机构双方公章，提交形式为彩色扫描件（</w:t>
      </w:r>
      <w:r>
        <w:rPr>
          <w:rFonts w:hint="eastAsia" w:ascii="仿宋_GB2312" w:eastAsia="仿宋_GB2312"/>
          <w:sz w:val="32"/>
          <w:szCs w:val="32"/>
          <w:lang w:eastAsia="zh-CN"/>
        </w:rPr>
        <w:t>pdf</w:t>
      </w:r>
      <w:r>
        <w:rPr>
          <w:rFonts w:hint="eastAsia" w:ascii="仿宋_GB2312" w:eastAsia="仿宋_GB2312"/>
          <w:sz w:val="32"/>
          <w:szCs w:val="32"/>
        </w:rPr>
        <w:t>格式）。</w:t>
      </w:r>
    </w:p>
    <w:p>
      <w:pPr>
        <w:keepNext w:val="0"/>
        <w:keepLines w:val="0"/>
        <w:pageBreakBefore w:val="0"/>
        <w:widowControl w:val="0"/>
        <w:numPr>
          <w:ilvl w:val="255"/>
          <w:numId w:val="0"/>
        </w:numPr>
        <w:kinsoku/>
        <w:wordWrap/>
        <w:overflowPunct/>
        <w:topLinePunct w:val="0"/>
        <w:autoSpaceDE/>
        <w:autoSpaceDN/>
        <w:bidi w:val="0"/>
        <w:adjustRightInd/>
        <w:snapToGrid w:val="0"/>
        <w:spacing w:line="560" w:lineRule="exact"/>
        <w:ind w:right="0" w:rightChars="0" w:firstLine="640" w:firstLineChars="200"/>
        <w:jc w:val="both"/>
        <w:textAlignment w:val="auto"/>
        <w:rPr>
          <w:rFonts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企业申请人需提交人民法院公告网有关法律状态查询结果（网址为https://rmfygg.court.gov.cn，公告类型选择“破产文书”进行查询，查询结果应是“没有找到符合条件的相关内容”），将查询结果网络页面全屏截图后打印，在打印件上加盖申请人公章，提交形式为彩色扫描件（</w:t>
      </w:r>
      <w:r>
        <w:rPr>
          <w:rFonts w:hint="eastAsia" w:ascii="仿宋_GB2312" w:eastAsia="仿宋_GB2312"/>
          <w:sz w:val="32"/>
          <w:szCs w:val="32"/>
          <w:lang w:eastAsia="zh-CN"/>
        </w:rPr>
        <w:t>pdf</w:t>
      </w:r>
      <w:r>
        <w:rPr>
          <w:rFonts w:hint="eastAsia" w:ascii="仿宋_GB2312" w:eastAsia="仿宋_GB2312"/>
          <w:sz w:val="32"/>
          <w:szCs w:val="32"/>
        </w:rPr>
        <w:t>格式）。</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w:t>
      </w:r>
      <w:r>
        <w:rPr>
          <w:rFonts w:hint="eastAsia" w:ascii="仿宋_GB2312" w:eastAsia="仿宋_GB2312"/>
          <w:sz w:val="32"/>
          <w:szCs w:val="32"/>
          <w:lang w:val="en-US" w:eastAsia="zh-CN"/>
        </w:rPr>
        <w:t>申请人需将</w:t>
      </w:r>
      <w:r>
        <w:rPr>
          <w:rFonts w:hint="eastAsia" w:ascii="仿宋_GB2312" w:eastAsia="仿宋_GB2312"/>
          <w:sz w:val="32"/>
          <w:szCs w:val="32"/>
        </w:rPr>
        <w:t>上述1至</w:t>
      </w:r>
      <w:r>
        <w:rPr>
          <w:rFonts w:hint="eastAsia" w:ascii="仿宋_GB2312" w:eastAsia="仿宋_GB2312"/>
          <w:sz w:val="32"/>
          <w:szCs w:val="32"/>
          <w:lang w:val="en-US" w:eastAsia="zh-CN"/>
        </w:rPr>
        <w:t>3</w:t>
      </w:r>
      <w:r>
        <w:rPr>
          <w:rFonts w:hint="eastAsia" w:ascii="仿宋_GB2312" w:eastAsia="仿宋_GB2312"/>
          <w:sz w:val="32"/>
          <w:szCs w:val="32"/>
        </w:rPr>
        <w:t>项申请主体资格材料制作在一份</w:t>
      </w:r>
      <w:r>
        <w:rPr>
          <w:rFonts w:hint="eastAsia" w:ascii="仿宋_GB2312" w:eastAsia="仿宋_GB2312"/>
          <w:sz w:val="32"/>
          <w:szCs w:val="32"/>
          <w:lang w:eastAsia="zh-CN"/>
        </w:rPr>
        <w:t>pdf</w:t>
      </w:r>
      <w:r>
        <w:rPr>
          <w:rFonts w:hint="eastAsia" w:ascii="仿宋_GB2312" w:eastAsia="仿宋_GB2312"/>
          <w:sz w:val="32"/>
          <w:szCs w:val="32"/>
        </w:rPr>
        <w:t>格式文档内并上传至系统。</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文件应当以申请人名称</w:t>
      </w:r>
      <w:r>
        <w:rPr>
          <w:rFonts w:hint="eastAsia" w:ascii="仿宋_GB2312" w:eastAsia="仿宋_GB2312"/>
          <w:sz w:val="32"/>
          <w:szCs w:val="32"/>
          <w:u w:val="single"/>
          <w:lang w:val="en-US" w:eastAsia="zh-CN"/>
        </w:rPr>
        <w:t xml:space="preserve"> </w:t>
      </w:r>
      <w:r>
        <w:rPr>
          <w:rFonts w:hint="eastAsia" w:ascii="仿宋_GB2312" w:eastAsia="仿宋_GB2312"/>
          <w:sz w:val="32"/>
          <w:szCs w:val="32"/>
        </w:rPr>
        <w:t>项目名称</w:t>
      </w:r>
      <w:r>
        <w:rPr>
          <w:rFonts w:hint="eastAsia" w:ascii="仿宋_GB2312" w:eastAsia="仿宋_GB2312"/>
          <w:sz w:val="32"/>
          <w:szCs w:val="32"/>
          <w:u w:val="single"/>
          <w:lang w:val="en-US" w:eastAsia="zh-CN"/>
        </w:rPr>
        <w:t xml:space="preserve"> </w:t>
      </w:r>
      <w:r>
        <w:rPr>
          <w:rFonts w:hint="eastAsia" w:ascii="仿宋_GB2312" w:eastAsia="仿宋_GB2312"/>
          <w:sz w:val="32"/>
          <w:szCs w:val="32"/>
        </w:rPr>
        <w:t>主体资格证明文件命名，示例：“深圳市***科技有限公司</w:t>
      </w:r>
      <w:r>
        <w:rPr>
          <w:rFonts w:hint="eastAsia" w:ascii="仿宋_GB2312" w:eastAsia="仿宋_GB2312"/>
          <w:sz w:val="32"/>
          <w:szCs w:val="32"/>
          <w:u w:val="single"/>
          <w:lang w:val="en-US" w:eastAsia="zh-CN"/>
        </w:rPr>
        <w:t xml:space="preserve"> </w:t>
      </w:r>
      <w:r>
        <w:rPr>
          <w:rFonts w:hint="eastAsia" w:ascii="仿宋_GB2312" w:eastAsia="仿宋_GB2312"/>
          <w:sz w:val="32"/>
          <w:szCs w:val="32"/>
        </w:rPr>
        <w:t>知识产权培训课程资助项目</w:t>
      </w:r>
      <w:r>
        <w:rPr>
          <w:rFonts w:hint="eastAsia" w:ascii="仿宋_GB2312" w:eastAsia="仿宋_GB2312"/>
          <w:sz w:val="32"/>
          <w:szCs w:val="32"/>
          <w:u w:val="single"/>
          <w:lang w:val="en-US" w:eastAsia="zh-CN"/>
        </w:rPr>
        <w:t xml:space="preserve"> </w:t>
      </w:r>
      <w:r>
        <w:rPr>
          <w:rFonts w:hint="eastAsia" w:ascii="仿宋_GB2312" w:eastAsia="仿宋_GB2312"/>
          <w:sz w:val="32"/>
          <w:szCs w:val="32"/>
        </w:rPr>
        <w:t>主体资格证明文件”。</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（三）课程设置方案</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w:t>
      </w:r>
      <w:r>
        <w:rPr>
          <w:rFonts w:hint="eastAsia" w:ascii="仿宋_GB2312" w:eastAsia="仿宋_GB2312"/>
          <w:sz w:val="32"/>
          <w:szCs w:val="32"/>
          <w:lang w:val="en-US" w:eastAsia="zh-CN"/>
        </w:rPr>
        <w:t>课程设置方案：</w:t>
      </w:r>
      <w:r>
        <w:rPr>
          <w:rFonts w:hint="eastAsia" w:ascii="仿宋_GB2312" w:eastAsia="仿宋_GB2312"/>
          <w:sz w:val="32"/>
          <w:szCs w:val="32"/>
        </w:rPr>
        <w:t>包括但不限于，设置培训背景、目的、具体实施规划、任务目标、产生的预期效果及推动我市知识产权发展情况等，上述文件制作在一份</w:t>
      </w:r>
      <w:r>
        <w:rPr>
          <w:rFonts w:hint="eastAsia" w:ascii="仿宋_GB2312" w:eastAsia="仿宋_GB2312"/>
          <w:sz w:val="32"/>
          <w:szCs w:val="32"/>
          <w:lang w:eastAsia="zh-CN"/>
        </w:rPr>
        <w:t>pdf</w:t>
      </w:r>
      <w:r>
        <w:rPr>
          <w:rFonts w:hint="eastAsia" w:ascii="仿宋_GB2312" w:eastAsia="仿宋_GB2312"/>
          <w:sz w:val="32"/>
          <w:szCs w:val="32"/>
        </w:rPr>
        <w:t>格式文档内，并以“课程设置方案”命名，统一提交系统。</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．课程具体实施方案：包括课题、授课时长，培训对象、培训人数、预计经费支出等（参照系统上材料清单自检范本表格下载模版），上述文件制作在一份</w:t>
      </w:r>
      <w:r>
        <w:rPr>
          <w:rFonts w:hint="eastAsia" w:ascii="仿宋_GB2312" w:eastAsia="仿宋_GB2312"/>
          <w:sz w:val="32"/>
          <w:szCs w:val="32"/>
          <w:lang w:eastAsia="zh-CN"/>
        </w:rPr>
        <w:t>pdf</w:t>
      </w:r>
      <w:r>
        <w:rPr>
          <w:rFonts w:hint="eastAsia" w:ascii="仿宋_GB2312" w:eastAsia="仿宋_GB2312"/>
          <w:sz w:val="32"/>
          <w:szCs w:val="32"/>
        </w:rPr>
        <w:t>格式文档内，并以“课程具体实施方案”命名，统一提交系统。</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（四）培训师资的相关材料</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授课老师为国家、省、市知识产权专家库成员、国家知识产权领军人才或者百千万知识产权人才等人才资质证明文件，证明材料制作在一份PDF格式文档内，存在多名授课老师应当提供列表及对应多份PDF格式文档证明文件，并形成ZIP格式文档，以“培训师资相关材料”命名ZIP格式文档，统一提交系统。</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（五）过往开展知识产权培训活动的相关材料</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过往知识产权培训活动证明文件，内容包括但不限于课件、照片、通知等证明文件，属于同一项目活动证明文件存放同一份文件夹内，以“知识产权培训活动”命名，并形成ZIP格式压缩文档提交至系统。</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存在多次培训活动的，分别以活动名称命名，示例：“****活动”，将多份文件夹形成同一份ZIP格式压缩文档，以“知识产权培训活动及成果”命名，统一提交至系统。</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（六）其它必要的证明材料</w:t>
      </w:r>
    </w:p>
    <w:p>
      <w:pPr>
        <w:numPr>
          <w:ilvl w:val="255"/>
          <w:numId w:val="0"/>
        </w:numPr>
        <w:snapToGrid w:val="0"/>
        <w:spacing w:line="560" w:lineRule="exact"/>
        <w:ind w:firstLine="640" w:firstLineChars="200"/>
        <w:jc w:val="both"/>
        <w:rPr>
          <w:rFonts w:ascii="仿宋_GB2312" w:eastAsia="仿宋_GB2312"/>
          <w:sz w:val="32"/>
          <w:szCs w:val="32"/>
        </w:rPr>
      </w:pPr>
      <w:r>
        <w:rPr>
          <w:rFonts w:hint="eastAsia" w:ascii="仿宋_GB2312" w:eastAsia="仿宋_GB2312"/>
          <w:sz w:val="32"/>
          <w:szCs w:val="32"/>
        </w:rPr>
        <w:t>以上第（一）至第（</w:t>
      </w:r>
      <w:r>
        <w:rPr>
          <w:rFonts w:hint="eastAsia" w:ascii="仿宋_GB2312" w:eastAsia="仿宋_GB2312"/>
          <w:sz w:val="32"/>
          <w:szCs w:val="32"/>
          <w:lang w:val="en-US" w:eastAsia="zh-CN"/>
        </w:rPr>
        <w:t>六</w:t>
      </w:r>
      <w:r>
        <w:rPr>
          <w:rFonts w:hint="eastAsia" w:ascii="仿宋_GB2312" w:eastAsia="仿宋_GB2312"/>
          <w:sz w:val="32"/>
          <w:szCs w:val="32"/>
        </w:rPr>
        <w:t>）项全部申请材料应当确保页面文字、公章、签名等实质性内容清晰可辨，各页面主要内容均为正向，不可横置或倒置。</w:t>
      </w:r>
    </w:p>
    <w:p>
      <w:pPr>
        <w:pStyle w:val="2"/>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560" w:lineRule="exact"/>
        <w:ind w:leftChars="0" w:firstLine="640" w:firstLineChars="200"/>
        <w:jc w:val="both"/>
        <w:textAlignment w:val="auto"/>
        <w:rPr>
          <w:rFonts w:hint="default" w:ascii="Times New Roman" w:hAnsi="Times New Roman" w:eastAsia="黑体" w:cs="仿宋_GB2312"/>
          <w:b w:val="0"/>
          <w:bCs w:val="0"/>
          <w:sz w:val="32"/>
          <w:szCs w:val="32"/>
          <w:lang w:val="en-US" w:eastAsia="zh-CN"/>
        </w:rPr>
      </w:pPr>
      <w:r>
        <w:rPr>
          <w:rFonts w:hint="eastAsia" w:ascii="Times New Roman" w:hAnsi="Times New Roman" w:eastAsia="黑体" w:cs="仿宋_GB2312"/>
          <w:b w:val="0"/>
          <w:bCs w:val="0"/>
          <w:sz w:val="32"/>
          <w:szCs w:val="32"/>
          <w:lang w:val="en-US" w:eastAsia="zh-CN"/>
        </w:rPr>
        <w:t>八、</w:t>
      </w:r>
      <w:r>
        <w:rPr>
          <w:rFonts w:hint="default" w:ascii="Times New Roman" w:hAnsi="Times New Roman" w:eastAsia="黑体" w:cs="仿宋_GB2312"/>
          <w:b w:val="0"/>
          <w:bCs w:val="0"/>
          <w:sz w:val="32"/>
          <w:szCs w:val="32"/>
          <w:lang w:val="en-US" w:eastAsia="zh-CN"/>
        </w:rPr>
        <w:t>受理事宜</w:t>
      </w:r>
    </w:p>
    <w:p>
      <w:pPr>
        <w:snapToGrid w:val="0"/>
        <w:spacing w:line="560" w:lineRule="exact"/>
        <w:ind w:firstLine="643" w:firstLineChars="200"/>
        <w:jc w:val="both"/>
        <w:rPr>
          <w:rFonts w:ascii="仿宋_GB2312" w:eastAsia="仿宋_GB2312"/>
          <w:sz w:val="32"/>
          <w:szCs w:val="32"/>
        </w:rPr>
      </w:pPr>
      <w:r>
        <w:rPr>
          <w:rFonts w:hint="eastAsia" w:ascii="楷体_GB2312" w:eastAsia="楷体_GB2312"/>
          <w:b/>
          <w:sz w:val="32"/>
          <w:szCs w:val="32"/>
        </w:rPr>
        <w:t>（一）</w:t>
      </w:r>
      <w:r>
        <w:rPr>
          <w:rFonts w:hint="eastAsia" w:ascii="楷体_GB2312" w:eastAsia="楷体_GB2312" w:cs="Times New Roman"/>
          <w:b/>
          <w:kern w:val="2"/>
          <w:sz w:val="32"/>
          <w:szCs w:val="32"/>
          <w:lang w:val="en-US" w:eastAsia="zh-CN" w:bidi="ar-SA"/>
        </w:rPr>
        <w:t>受理机关</w:t>
      </w:r>
      <w:r>
        <w:rPr>
          <w:rFonts w:hint="eastAsia" w:ascii="楷体_GB2312" w:hAnsi="Calibri" w:eastAsia="楷体_GB2312" w:cs="Times New Roman"/>
          <w:b/>
          <w:kern w:val="2"/>
          <w:sz w:val="32"/>
          <w:szCs w:val="32"/>
          <w:lang w:val="en-US" w:eastAsia="zh-CN" w:bidi="ar-SA"/>
        </w:rPr>
        <w:t>：</w:t>
      </w:r>
      <w:r>
        <w:rPr>
          <w:rFonts w:hint="eastAsia" w:ascii="仿宋_GB2312" w:eastAsia="仿宋_GB2312"/>
          <w:sz w:val="32"/>
          <w:szCs w:val="32"/>
        </w:rPr>
        <w:t>深圳市市场监督管理局。</w:t>
      </w:r>
    </w:p>
    <w:p>
      <w:pPr>
        <w:keepNext w:val="0"/>
        <w:keepLines w:val="0"/>
        <w:pageBreakBefore w:val="0"/>
        <w:widowControl w:val="0"/>
        <w:numPr>
          <w:ilvl w:val="255"/>
          <w:numId w:val="0"/>
        </w:numPr>
        <w:kinsoku/>
        <w:wordWrap/>
        <w:overflowPunct/>
        <w:topLinePunct w:val="0"/>
        <w:autoSpaceDE/>
        <w:autoSpaceDN/>
        <w:bidi w:val="0"/>
        <w:adjustRightInd/>
        <w:snapToGrid w:val="0"/>
        <w:spacing w:line="560" w:lineRule="exact"/>
        <w:ind w:left="0" w:leftChars="0" w:firstLine="643" w:firstLineChars="200"/>
        <w:jc w:val="both"/>
        <w:textAlignment w:val="auto"/>
        <w:rPr>
          <w:rFonts w:hint="eastAsia" w:ascii="仿宋_GB2312" w:eastAsia="仿宋_GB2312" w:cs="Times New Roman"/>
          <w:sz w:val="32"/>
          <w:szCs w:val="32"/>
        </w:rPr>
      </w:pPr>
      <w:r>
        <w:rPr>
          <w:rFonts w:hint="eastAsia" w:ascii="楷体_GB2312" w:eastAsia="楷体_GB2312"/>
          <w:b/>
          <w:sz w:val="32"/>
          <w:szCs w:val="32"/>
          <w:lang w:val="en-US" w:eastAsia="zh-CN"/>
        </w:rPr>
        <w:t>（二）受理时间：</w:t>
      </w:r>
      <w:r>
        <w:rPr>
          <w:rFonts w:hint="eastAsia" w:ascii="仿宋_GB2312" w:eastAsia="仿宋_GB2312" w:cs="Times New Roman"/>
          <w:b/>
          <w:bCs/>
          <w:sz w:val="32"/>
          <w:szCs w:val="32"/>
        </w:rPr>
        <w:t>2021年4月22日（</w:t>
      </w:r>
      <w:r>
        <w:rPr>
          <w:rFonts w:hint="eastAsia" w:ascii="仿宋_GB2312" w:eastAsia="仿宋_GB2312" w:cs="Times New Roman"/>
          <w:b/>
          <w:bCs/>
          <w:sz w:val="32"/>
          <w:szCs w:val="32"/>
          <w:lang w:val="en-US" w:eastAsia="zh-CN"/>
        </w:rPr>
        <w:t>14</w:t>
      </w:r>
      <w:r>
        <w:rPr>
          <w:rFonts w:hint="eastAsia" w:ascii="仿宋_GB2312" w:eastAsia="仿宋_GB2312" w:cs="Times New Roman"/>
          <w:b/>
          <w:bCs/>
          <w:sz w:val="32"/>
          <w:szCs w:val="32"/>
        </w:rPr>
        <w:t>:00）至2021年5月</w:t>
      </w:r>
      <w:r>
        <w:rPr>
          <w:rFonts w:hint="eastAsia" w:ascii="仿宋_GB2312" w:eastAsia="仿宋_GB2312" w:cs="Times New Roman"/>
          <w:b/>
          <w:bCs/>
          <w:sz w:val="32"/>
          <w:szCs w:val="32"/>
          <w:lang w:val="en-US" w:eastAsia="zh-CN"/>
        </w:rPr>
        <w:t>10</w:t>
      </w:r>
      <w:bookmarkStart w:id="0" w:name="_GoBack"/>
      <w:bookmarkEnd w:id="0"/>
      <w:r>
        <w:rPr>
          <w:rFonts w:hint="eastAsia" w:ascii="仿宋_GB2312" w:eastAsia="仿宋_GB2312" w:cs="Times New Roman"/>
          <w:b/>
          <w:bCs/>
          <w:sz w:val="32"/>
          <w:szCs w:val="32"/>
        </w:rPr>
        <w:t>日（18:00截止）。</w:t>
      </w:r>
      <w:r>
        <w:rPr>
          <w:rFonts w:hint="eastAsia" w:ascii="仿宋_GB2312" w:eastAsia="仿宋_GB2312" w:cs="Times New Roman"/>
          <w:sz w:val="32"/>
          <w:szCs w:val="32"/>
          <w:lang w:val="en-US" w:eastAsia="zh-CN"/>
        </w:rPr>
        <w:t>申报时无需提交纸质材料，申请人在受理时间内在指定申报系统完成提交即可。</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（三）申报方式</w:t>
      </w:r>
    </w:p>
    <w:p>
      <w:pPr>
        <w:numPr>
          <w:ilvl w:val="255"/>
          <w:numId w:val="0"/>
        </w:numPr>
        <w:spacing w:line="560" w:lineRule="exact"/>
        <w:ind w:firstLine="640" w:firstLineChars="200"/>
        <w:jc w:val="both"/>
        <w:rPr>
          <w:rFonts w:ascii="仿宋_GB2312" w:eastAsia="仿宋_GB2312"/>
          <w:sz w:val="32"/>
          <w:szCs w:val="32"/>
        </w:rPr>
      </w:pPr>
      <w:r>
        <w:rPr>
          <w:rFonts w:hint="eastAsia" w:ascii="仿宋_GB2312" w:eastAsia="仿宋_GB2312"/>
          <w:sz w:val="32"/>
          <w:szCs w:val="32"/>
          <w:lang w:val="en-US" w:eastAsia="zh-CN"/>
        </w:rPr>
        <w:t>本次资助</w:t>
      </w:r>
      <w:r>
        <w:rPr>
          <w:rFonts w:hint="eastAsia" w:ascii="仿宋_GB2312" w:eastAsia="仿宋_GB2312"/>
          <w:kern w:val="0"/>
          <w:sz w:val="32"/>
          <w:szCs w:val="32"/>
        </w:rPr>
        <w:t>实行网上在线申报，申报系统网址为：</w:t>
      </w:r>
      <w:r>
        <w:fldChar w:fldCharType="begin"/>
      </w:r>
      <w:r>
        <w:instrText xml:space="preserve"> HYPERLINK "https://amr.sz.gov.cn/psout，待定）" </w:instrText>
      </w:r>
      <w:r>
        <w:fldChar w:fldCharType="separate"/>
      </w:r>
      <w:r>
        <w:rPr>
          <w:rFonts w:hint="eastAsia"/>
        </w:rPr>
        <w:t xml:space="preserve"> </w:t>
      </w:r>
      <w:r>
        <w:rPr>
          <w:rFonts w:hint="eastAsia" w:ascii="仿宋_GB2312" w:eastAsia="仿宋_GB2312"/>
          <w:sz w:val="32"/>
          <w:szCs w:val="32"/>
        </w:rPr>
        <w:t>https://amr.sz.gov.cn/mrasgas/sfc-company/#/apply/check-info?itemId=MB2C927393442125181001440300</w:t>
      </w:r>
      <w:r>
        <w:rPr>
          <w:rFonts w:hint="eastAsia" w:ascii="仿宋_GB2312" w:eastAsia="仿宋_GB2312"/>
          <w:sz w:val="32"/>
          <w:szCs w:val="32"/>
        </w:rPr>
        <w:fldChar w:fldCharType="end"/>
      </w:r>
      <w:r>
        <w:rPr>
          <w:rFonts w:hint="eastAsia" w:ascii="仿宋_GB2312" w:eastAsia="仿宋_GB2312"/>
          <w:sz w:val="32"/>
          <w:szCs w:val="32"/>
        </w:rPr>
        <w:t>，建议使用谷歌、360（极速模式）、IE 11（或以上）等浏览器软件。</w:t>
      </w:r>
    </w:p>
    <w:p>
      <w:pPr>
        <w:numPr>
          <w:ilvl w:val="255"/>
          <w:numId w:val="0"/>
        </w:numPr>
        <w:snapToGrid w:val="0"/>
        <w:spacing w:line="560" w:lineRule="exact"/>
        <w:ind w:firstLine="640" w:firstLineChars="200"/>
        <w:jc w:val="both"/>
        <w:rPr>
          <w:rFonts w:ascii="仿宋_GB2312" w:hAnsi="Times New Roman" w:eastAsia="仿宋_GB2312"/>
          <w:kern w:val="0"/>
          <w:sz w:val="32"/>
          <w:szCs w:val="32"/>
        </w:rPr>
      </w:pPr>
      <w:r>
        <w:rPr>
          <w:rFonts w:hint="eastAsia" w:ascii="仿宋_GB2312" w:eastAsia="仿宋_GB2312"/>
          <w:sz w:val="32"/>
          <w:szCs w:val="32"/>
        </w:rPr>
        <w:t>登录申报系统后，选择办理情形“实施知识产权培训课程项目资助申报”，阅读并勾选同意《广东省网上办事大厅服务条款》内容，点击“下一步”进入申报；或者，登录广东省政务网，在“切换区域”和“部门”分别选择“深圳市”和“市场监督管理局”，点击“公共服务”，找到实施知识产权培训课程项目资助，或者直接搜索“实施知识产权培训课程项目资助”，选中后进入申报页面。</w:t>
      </w:r>
      <w:r>
        <w:rPr>
          <w:rFonts w:ascii="仿宋_GB2312" w:hAnsi="Times New Roman" w:eastAsia="仿宋_GB2312"/>
          <w:kern w:val="0"/>
          <w:sz w:val="32"/>
          <w:szCs w:val="32"/>
        </w:rPr>
        <w:t>将本指南第</w:t>
      </w:r>
      <w:r>
        <w:rPr>
          <w:rFonts w:hint="eastAsia" w:ascii="仿宋_GB2312" w:eastAsia="仿宋_GB2312"/>
          <w:kern w:val="0"/>
          <w:sz w:val="32"/>
          <w:szCs w:val="32"/>
          <w:lang w:val="en-US" w:eastAsia="zh-CN"/>
        </w:rPr>
        <w:t>七</w:t>
      </w:r>
      <w:r>
        <w:rPr>
          <w:rFonts w:ascii="仿宋_GB2312" w:hAnsi="Times New Roman" w:eastAsia="仿宋_GB2312"/>
          <w:kern w:val="0"/>
          <w:sz w:val="32"/>
          <w:szCs w:val="32"/>
        </w:rPr>
        <w:t>条要求的</w:t>
      </w:r>
      <w:r>
        <w:rPr>
          <w:rFonts w:hint="eastAsia" w:ascii="仿宋_GB2312" w:hAnsi="Times New Roman" w:eastAsia="仿宋_GB2312"/>
          <w:kern w:val="0"/>
          <w:sz w:val="32"/>
          <w:szCs w:val="32"/>
        </w:rPr>
        <w:t>全部</w:t>
      </w:r>
      <w:r>
        <w:rPr>
          <w:rFonts w:ascii="仿宋_GB2312" w:hAnsi="Times New Roman" w:eastAsia="仿宋_GB2312"/>
          <w:kern w:val="0"/>
          <w:sz w:val="32"/>
          <w:szCs w:val="32"/>
        </w:rPr>
        <w:t>申</w:t>
      </w:r>
      <w:r>
        <w:rPr>
          <w:rFonts w:hint="eastAsia" w:ascii="仿宋_GB2312" w:hAnsi="Times New Roman" w:eastAsia="仿宋_GB2312"/>
          <w:kern w:val="0"/>
          <w:sz w:val="32"/>
          <w:szCs w:val="32"/>
        </w:rPr>
        <w:t>请</w:t>
      </w:r>
      <w:r>
        <w:rPr>
          <w:rFonts w:ascii="仿宋_GB2312" w:hAnsi="Times New Roman" w:eastAsia="仿宋_GB2312"/>
          <w:kern w:val="0"/>
          <w:sz w:val="32"/>
          <w:szCs w:val="32"/>
        </w:rPr>
        <w:t>材料按照申报系统中的</w:t>
      </w:r>
      <w:r>
        <w:rPr>
          <w:rFonts w:hint="eastAsia" w:ascii="仿宋_GB2312" w:hAnsi="Times New Roman" w:eastAsia="仿宋_GB2312"/>
          <w:kern w:val="0"/>
          <w:sz w:val="32"/>
          <w:szCs w:val="32"/>
        </w:rPr>
        <w:t>有关</w:t>
      </w:r>
      <w:r>
        <w:rPr>
          <w:rFonts w:ascii="仿宋_GB2312" w:hAnsi="Times New Roman" w:eastAsia="仿宋_GB2312"/>
          <w:kern w:val="0"/>
          <w:sz w:val="32"/>
          <w:szCs w:val="32"/>
        </w:rPr>
        <w:t>提示要求</w:t>
      </w:r>
      <w:r>
        <w:rPr>
          <w:rFonts w:hint="eastAsia" w:ascii="仿宋_GB2312" w:hAnsi="Times New Roman" w:eastAsia="仿宋_GB2312"/>
          <w:kern w:val="0"/>
          <w:sz w:val="32"/>
          <w:szCs w:val="32"/>
        </w:rPr>
        <w:t>分别</w:t>
      </w:r>
      <w:r>
        <w:rPr>
          <w:rFonts w:ascii="仿宋_GB2312" w:hAnsi="Times New Roman" w:eastAsia="仿宋_GB2312"/>
          <w:kern w:val="0"/>
          <w:sz w:val="32"/>
          <w:szCs w:val="32"/>
        </w:rPr>
        <w:t>上传。</w:t>
      </w:r>
    </w:p>
    <w:p>
      <w:pPr>
        <w:numPr>
          <w:ilvl w:val="255"/>
          <w:numId w:val="0"/>
        </w:numPr>
        <w:snapToGrid w:val="0"/>
        <w:spacing w:line="560" w:lineRule="exact"/>
        <w:ind w:firstLine="640" w:firstLineChars="200"/>
        <w:jc w:val="both"/>
        <w:rPr>
          <w:rFonts w:ascii="仿宋_GB2312" w:eastAsia="仿宋_GB2312" w:cs="仿宋_GB2312"/>
          <w:kern w:val="0"/>
          <w:sz w:val="32"/>
          <w:szCs w:val="32"/>
        </w:rPr>
      </w:pPr>
      <w:r>
        <w:rPr>
          <w:rFonts w:hint="eastAsia" w:ascii="仿宋_GB2312" w:hAnsi="仿宋_GB2312" w:eastAsia="仿宋_GB2312" w:cs="仿宋_GB2312"/>
          <w:sz w:val="32"/>
          <w:szCs w:val="32"/>
        </w:rPr>
        <w:t>申报系统技术支持电话：平安科技人员黄工13480726201、陈工18575553691，座机号</w:t>
      </w:r>
      <w:r>
        <w:rPr>
          <w:rFonts w:hint="eastAsia" w:ascii="仿宋_GB2312" w:hAnsi="仿宋_GB2312" w:eastAsia="仿宋_GB2312" w:cs="仿宋_GB2312"/>
          <w:sz w:val="32"/>
          <w:szCs w:val="32"/>
          <w:lang w:val="en-US" w:eastAsia="zh-CN"/>
        </w:rPr>
        <w:t>0755-</w:t>
      </w:r>
      <w:r>
        <w:rPr>
          <w:rFonts w:hint="eastAsia" w:ascii="仿宋_GB2312" w:hAnsi="仿宋_GB2312" w:eastAsia="仿宋_GB2312" w:cs="仿宋_GB2312"/>
          <w:sz w:val="32"/>
          <w:szCs w:val="32"/>
        </w:rPr>
        <w:t>88670184。申报业务咨询电话：</w:t>
      </w:r>
      <w:r>
        <w:rPr>
          <w:rFonts w:hint="eastAsia" w:ascii="仿宋_GB2312" w:eastAsia="仿宋_GB2312"/>
          <w:sz w:val="32"/>
          <w:szCs w:val="32"/>
          <w:lang w:eastAsia="zh-CN"/>
        </w:rPr>
        <w:t>0755-83070173</w:t>
      </w:r>
      <w:r>
        <w:rPr>
          <w:rFonts w:hint="eastAsia" w:ascii="仿宋_GB2312" w:hAnsi="仿宋_GB2312" w:eastAsia="仿宋_GB2312" w:cs="仿宋_GB2312"/>
          <w:sz w:val="32"/>
          <w:szCs w:val="32"/>
        </w:rPr>
        <w:t>。办公时间：</w:t>
      </w:r>
      <w:r>
        <w:rPr>
          <w:rFonts w:hint="eastAsia" w:ascii="仿宋_GB2312" w:eastAsia="仿宋_GB2312" w:cs="仿宋_GB2312"/>
          <w:kern w:val="0"/>
          <w:sz w:val="32"/>
          <w:szCs w:val="32"/>
        </w:rPr>
        <w:t>星期一至星期五（法定节假日除外）上午</w:t>
      </w:r>
      <w:r>
        <w:rPr>
          <w:rFonts w:ascii="仿宋_GB2312" w:eastAsia="仿宋_GB2312" w:cs="仿宋_GB2312"/>
          <w:kern w:val="0"/>
          <w:sz w:val="32"/>
          <w:szCs w:val="32"/>
        </w:rPr>
        <w:t>09:00-12:00，下午14:00-1</w:t>
      </w:r>
      <w:r>
        <w:rPr>
          <w:rFonts w:hint="eastAsia" w:ascii="仿宋_GB2312" w:eastAsia="仿宋_GB2312" w:cs="仿宋_GB2312"/>
          <w:kern w:val="0"/>
          <w:sz w:val="32"/>
          <w:szCs w:val="32"/>
        </w:rPr>
        <w:t>8</w:t>
      </w:r>
      <w:r>
        <w:rPr>
          <w:rFonts w:ascii="仿宋_GB2312" w:eastAsia="仿宋_GB2312" w:cs="仿宋_GB2312"/>
          <w:kern w:val="0"/>
          <w:sz w:val="32"/>
          <w:szCs w:val="32"/>
        </w:rPr>
        <w:t>:</w:t>
      </w:r>
      <w:r>
        <w:rPr>
          <w:rFonts w:hint="eastAsia" w:ascii="仿宋_GB2312" w:eastAsia="仿宋_GB2312" w:cs="仿宋_GB2312"/>
          <w:kern w:val="0"/>
          <w:sz w:val="32"/>
          <w:szCs w:val="32"/>
        </w:rPr>
        <w:t>00。</w:t>
      </w:r>
    </w:p>
    <w:p>
      <w:pPr>
        <w:pStyle w:val="2"/>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560" w:lineRule="exact"/>
        <w:ind w:leftChars="0" w:firstLine="640" w:firstLineChars="200"/>
        <w:jc w:val="both"/>
        <w:textAlignment w:val="auto"/>
        <w:rPr>
          <w:rFonts w:hint="default" w:ascii="Times New Roman" w:hAnsi="Times New Roman" w:eastAsia="黑体" w:cs="仿宋_GB2312"/>
          <w:b w:val="0"/>
          <w:bCs w:val="0"/>
          <w:sz w:val="32"/>
          <w:szCs w:val="32"/>
          <w:lang w:val="en-US" w:eastAsia="zh-CN"/>
        </w:rPr>
      </w:pPr>
      <w:r>
        <w:rPr>
          <w:rFonts w:hint="eastAsia" w:ascii="Times New Roman" w:hAnsi="Times New Roman" w:eastAsia="黑体" w:cs="仿宋_GB2312"/>
          <w:b w:val="0"/>
          <w:bCs w:val="0"/>
          <w:sz w:val="32"/>
          <w:szCs w:val="32"/>
          <w:lang w:val="en-US" w:eastAsia="zh-CN"/>
        </w:rPr>
        <w:t>九、决定机关</w:t>
      </w:r>
    </w:p>
    <w:p>
      <w:pPr>
        <w:snapToGrid w:val="0"/>
        <w:spacing w:line="560" w:lineRule="exact"/>
        <w:ind w:firstLine="640" w:firstLineChars="200"/>
        <w:jc w:val="both"/>
        <w:rPr>
          <w:rFonts w:eastAsia="仿宋_GB2312"/>
          <w:sz w:val="32"/>
        </w:rPr>
      </w:pPr>
      <w:r>
        <w:rPr>
          <w:rFonts w:hint="eastAsia" w:eastAsia="仿宋_GB2312"/>
          <w:sz w:val="32"/>
        </w:rPr>
        <w:t>深圳市市场监督管理局</w:t>
      </w:r>
    </w:p>
    <w:p>
      <w:pPr>
        <w:pStyle w:val="2"/>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560" w:lineRule="exact"/>
        <w:ind w:leftChars="0" w:firstLine="640" w:firstLineChars="200"/>
        <w:jc w:val="both"/>
        <w:textAlignment w:val="auto"/>
        <w:rPr>
          <w:rFonts w:hint="default" w:ascii="Times New Roman" w:hAnsi="Times New Roman" w:eastAsia="黑体" w:cs="仿宋_GB2312"/>
          <w:b w:val="0"/>
          <w:bCs w:val="0"/>
          <w:sz w:val="32"/>
          <w:szCs w:val="32"/>
          <w:lang w:val="en-US" w:eastAsia="zh-CN"/>
        </w:rPr>
      </w:pPr>
      <w:r>
        <w:rPr>
          <w:rFonts w:hint="eastAsia" w:ascii="Times New Roman" w:hAnsi="Times New Roman" w:eastAsia="黑体" w:cs="仿宋_GB2312"/>
          <w:b w:val="0"/>
          <w:bCs w:val="0"/>
          <w:sz w:val="32"/>
          <w:szCs w:val="32"/>
          <w:lang w:val="en-US" w:eastAsia="zh-CN"/>
        </w:rPr>
        <w:t>十、</w:t>
      </w:r>
      <w:r>
        <w:rPr>
          <w:rFonts w:hint="default" w:ascii="Times New Roman" w:hAnsi="Times New Roman" w:eastAsia="黑体" w:cs="仿宋_GB2312"/>
          <w:b w:val="0"/>
          <w:bCs w:val="0"/>
          <w:sz w:val="32"/>
          <w:szCs w:val="32"/>
          <w:lang w:val="en-US" w:eastAsia="zh-CN"/>
        </w:rPr>
        <w:t>办理程序与注意事项</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（一）办理程序</w:t>
      </w:r>
    </w:p>
    <w:p>
      <w:pPr>
        <w:numPr>
          <w:ilvl w:val="255"/>
          <w:numId w:val="0"/>
        </w:numPr>
        <w:snapToGrid w:val="0"/>
        <w:spacing w:line="560" w:lineRule="exact"/>
        <w:ind w:firstLine="640" w:firstLineChars="200"/>
        <w:jc w:val="both"/>
        <w:rPr>
          <w:rFonts w:ascii="仿宋_GB2312" w:eastAsia="仿宋_GB2312"/>
          <w:sz w:val="32"/>
        </w:rPr>
      </w:pPr>
      <w:r>
        <w:rPr>
          <w:rFonts w:hint="eastAsia" w:ascii="仿宋_GB2312" w:eastAsia="仿宋_GB2312"/>
          <w:sz w:val="32"/>
        </w:rPr>
        <w:t>市市场监管局发布年度申报指南（通知）——申请人网上申报（通过申报系统在线提交电子申请材料）——市市场监管局受理初审（含可能发生的补正程序）——专家评审（含必要的实地考察评价）——协同相关部门核对数据、核查诚信情况——资助方案社会公示（</w:t>
      </w:r>
      <w:r>
        <w:rPr>
          <w:rFonts w:ascii="仿宋_GB2312" w:eastAsia="仿宋_GB2312"/>
          <w:sz w:val="32"/>
        </w:rPr>
        <w:t>5个工作日）</w:t>
      </w:r>
      <w:r>
        <w:rPr>
          <w:rFonts w:hint="eastAsia" w:ascii="仿宋_GB2312" w:eastAsia="仿宋_GB2312"/>
          <w:sz w:val="32"/>
        </w:rPr>
        <w:t>——市市场监管局审定——财政资金预算申请和资金拨付。</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（二）注意事项</w:t>
      </w:r>
    </w:p>
    <w:p>
      <w:pPr>
        <w:pStyle w:val="2"/>
        <w:snapToGrid w:val="0"/>
        <w:spacing w:before="0" w:beforeAutospacing="0" w:after="0" w:afterAutospacing="0" w:line="560" w:lineRule="exact"/>
        <w:ind w:firstLine="640" w:firstLineChars="200"/>
        <w:jc w:val="both"/>
        <w:rPr>
          <w:rFonts w:hint="default" w:ascii="仿宋_GB2312" w:hAnsi="仿宋_GB2312" w:eastAsia="仿宋_GB2312" w:cs="仿宋_GB2312"/>
          <w:b w:val="0"/>
          <w:sz w:val="32"/>
          <w:szCs w:val="32"/>
        </w:rPr>
      </w:pPr>
      <w:r>
        <w:rPr>
          <w:rFonts w:ascii="仿宋_GB2312" w:hAnsi="仿宋_GB2312" w:eastAsia="仿宋_GB2312" w:cs="仿宋_GB2312"/>
          <w:b w:val="0"/>
          <w:sz w:val="32"/>
          <w:szCs w:val="32"/>
        </w:rPr>
        <w:t>1．严格按照申报系统有关提示进行填报。申请人需通过广东省政务服务网进行申报，</w:t>
      </w:r>
      <w:r>
        <w:rPr>
          <w:rFonts w:ascii="仿宋_GB2312" w:eastAsia="仿宋_GB2312"/>
          <w:b w:val="0"/>
          <w:sz w:val="32"/>
          <w:szCs w:val="32"/>
        </w:rPr>
        <w:t>账户等级须达到五级（原L3级别）核验方可进行申报</w:t>
      </w:r>
      <w:r>
        <w:rPr>
          <w:rFonts w:ascii="仿宋_GB2312" w:hAnsi="仿宋_GB2312" w:eastAsia="仿宋_GB2312" w:cs="仿宋_GB2312"/>
          <w:b w:val="0"/>
          <w:sz w:val="32"/>
          <w:szCs w:val="32"/>
        </w:rPr>
        <w:t>。申请人名称与其银行开户名称必须完全一致，否则将影响资助申请审核结果及办理资金发放，相应后果由申请人自行承担。</w:t>
      </w:r>
    </w:p>
    <w:p>
      <w:pPr>
        <w:numPr>
          <w:ilvl w:val="255"/>
          <w:numId w:val="0"/>
        </w:numPr>
        <w:snapToGrid w:val="0"/>
        <w:spacing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b w:val="0"/>
          <w:bCs/>
          <w:sz w:val="32"/>
          <w:szCs w:val="32"/>
        </w:rPr>
        <w:t>．</w:t>
      </w:r>
      <w:r>
        <w:rPr>
          <w:rFonts w:ascii="仿宋_GB2312" w:hAnsi="仿宋_GB2312" w:eastAsia="仿宋_GB2312" w:cs="仿宋_GB2312"/>
          <w:sz w:val="32"/>
          <w:szCs w:val="32"/>
        </w:rPr>
        <w:t>市</w:t>
      </w:r>
      <w:r>
        <w:rPr>
          <w:rFonts w:hint="eastAsia" w:ascii="仿宋_GB2312" w:hAnsi="仿宋_GB2312" w:eastAsia="仿宋_GB2312" w:cs="仿宋_GB2312"/>
          <w:sz w:val="32"/>
          <w:szCs w:val="32"/>
        </w:rPr>
        <w:t>市场监管局</w:t>
      </w:r>
      <w:r>
        <w:rPr>
          <w:rFonts w:ascii="仿宋_GB2312" w:hAnsi="仿宋_GB2312" w:eastAsia="仿宋_GB2312" w:cs="仿宋_GB2312"/>
          <w:sz w:val="32"/>
          <w:szCs w:val="32"/>
        </w:rPr>
        <w:t>在对资助申请材料进行受理和初审过程中，对于申请材料不齐全、不完善或者不符合规定要求的，将通知申请人限期补正。申请人材料补正须在指定时</w:t>
      </w:r>
      <w:r>
        <w:rPr>
          <w:rFonts w:hint="eastAsia" w:ascii="仿宋_GB2312" w:hAnsi="仿宋_GB2312" w:eastAsia="仿宋_GB2312" w:cs="仿宋_GB2312"/>
          <w:sz w:val="32"/>
          <w:szCs w:val="32"/>
        </w:rPr>
        <w:t>限</w:t>
      </w:r>
      <w:r>
        <w:rPr>
          <w:rFonts w:ascii="仿宋_GB2312" w:hAnsi="仿宋_GB2312" w:eastAsia="仿宋_GB2312" w:cs="仿宋_GB2312"/>
          <w:sz w:val="32"/>
          <w:szCs w:val="32"/>
        </w:rPr>
        <w:t>内严格按照审核提示要求</w:t>
      </w:r>
      <w:r>
        <w:rPr>
          <w:rFonts w:hint="eastAsia" w:ascii="仿宋_GB2312" w:hAnsi="仿宋_GB2312" w:eastAsia="仿宋_GB2312" w:cs="仿宋_GB2312"/>
          <w:sz w:val="32"/>
          <w:szCs w:val="32"/>
        </w:rPr>
        <w:t>完成</w:t>
      </w:r>
      <w:r>
        <w:rPr>
          <w:rFonts w:ascii="仿宋_GB2312" w:hAnsi="仿宋_GB2312" w:eastAsia="仿宋_GB2312" w:cs="仿宋_GB2312"/>
          <w:sz w:val="32"/>
          <w:szCs w:val="32"/>
        </w:rPr>
        <w:t>，通过申报系统上传有关证明材料。</w:t>
      </w:r>
      <w:r>
        <w:rPr>
          <w:rFonts w:ascii="仿宋_GB2312" w:eastAsia="仿宋_GB2312"/>
          <w:sz w:val="32"/>
          <w:szCs w:val="32"/>
        </w:rPr>
        <w:t>申请人</w:t>
      </w:r>
      <w:r>
        <w:rPr>
          <w:rFonts w:ascii="仿宋_GB2312" w:hAnsi="仿宋_GB2312" w:eastAsia="仿宋_GB2312" w:cs="仿宋_GB2312"/>
          <w:sz w:val="32"/>
          <w:szCs w:val="32"/>
        </w:rPr>
        <w:t>未在指定时</w:t>
      </w:r>
      <w:r>
        <w:rPr>
          <w:rFonts w:hint="eastAsia" w:ascii="仿宋_GB2312" w:hAnsi="仿宋_GB2312" w:eastAsia="仿宋_GB2312" w:cs="仿宋_GB2312"/>
          <w:sz w:val="32"/>
          <w:szCs w:val="32"/>
        </w:rPr>
        <w:t>限</w:t>
      </w:r>
      <w:r>
        <w:rPr>
          <w:rFonts w:ascii="仿宋_GB2312" w:hAnsi="仿宋_GB2312" w:eastAsia="仿宋_GB2312" w:cs="仿宋_GB2312"/>
          <w:sz w:val="32"/>
          <w:szCs w:val="32"/>
        </w:rPr>
        <w:t>内</w:t>
      </w:r>
      <w:r>
        <w:rPr>
          <w:rFonts w:hint="eastAsia" w:ascii="仿宋_GB2312" w:hAnsi="仿宋_GB2312" w:eastAsia="仿宋_GB2312" w:cs="仿宋_GB2312"/>
          <w:sz w:val="32"/>
          <w:szCs w:val="32"/>
        </w:rPr>
        <w:t>按要求</w:t>
      </w:r>
      <w:r>
        <w:rPr>
          <w:rFonts w:ascii="仿宋_GB2312" w:hAnsi="仿宋_GB2312" w:eastAsia="仿宋_GB2312" w:cs="仿宋_GB2312"/>
          <w:sz w:val="32"/>
          <w:szCs w:val="32"/>
        </w:rPr>
        <w:t>完成补正的，视为放弃申请。</w:t>
      </w:r>
    </w:p>
    <w:p>
      <w:pPr>
        <w:keepNext w:val="0"/>
        <w:keepLines w:val="0"/>
        <w:pageBreakBefore w:val="0"/>
        <w:widowControl w:val="0"/>
        <w:numPr>
          <w:ilvl w:val="255"/>
          <w:numId w:val="0"/>
        </w:numPr>
        <w:kinsoku/>
        <w:wordWrap/>
        <w:overflowPunct/>
        <w:topLinePunct w:val="0"/>
        <w:autoSpaceDE/>
        <w:autoSpaceDN/>
        <w:bidi w:val="0"/>
        <w:adjustRightInd/>
        <w:snapToGrid w:val="0"/>
        <w:spacing w:line="560" w:lineRule="exact"/>
        <w:ind w:firstLine="640" w:firstLineChars="200"/>
        <w:jc w:val="both"/>
        <w:textAlignment w:val="auto"/>
        <w:rPr>
          <w:rFonts w:ascii="仿宋_GB2312" w:eastAsia="仿宋_GB2312"/>
          <w:sz w:val="32"/>
          <w:szCs w:val="32"/>
        </w:rPr>
      </w:pPr>
      <w:r>
        <w:rPr>
          <w:rFonts w:hint="eastAsia" w:ascii="仿宋_GB2312" w:hAnsi="仿宋_GB2312" w:eastAsia="仿宋_GB2312" w:cs="仿宋_GB2312"/>
          <w:sz w:val="32"/>
          <w:szCs w:val="32"/>
          <w:lang w:val="en-US" w:eastAsia="zh-CN"/>
        </w:rPr>
        <w:t>3</w:t>
      </w:r>
      <w:r>
        <w:rPr>
          <w:rFonts w:hint="eastAsia" w:ascii="仿宋_GB2312" w:eastAsia="仿宋_GB2312"/>
          <w:sz w:val="32"/>
          <w:szCs w:val="32"/>
        </w:rPr>
        <w:t>．</w:t>
      </w:r>
      <w:r>
        <w:rPr>
          <w:rFonts w:ascii="仿宋_GB2312" w:eastAsia="仿宋_GB2312"/>
          <w:sz w:val="32"/>
          <w:szCs w:val="32"/>
        </w:rPr>
        <w:t>申请人提交资助申请后，可通过</w:t>
      </w:r>
      <w:r>
        <w:rPr>
          <w:rFonts w:hint="eastAsia" w:ascii="仿宋_GB2312" w:eastAsia="仿宋_GB2312"/>
          <w:sz w:val="32"/>
          <w:szCs w:val="32"/>
        </w:rPr>
        <w:t>申报</w:t>
      </w:r>
      <w:r>
        <w:rPr>
          <w:rFonts w:ascii="仿宋_GB2312" w:eastAsia="仿宋_GB2312"/>
          <w:sz w:val="32"/>
          <w:szCs w:val="32"/>
        </w:rPr>
        <w:t>系统自行查询办理进度状态，</w:t>
      </w:r>
      <w:r>
        <w:rPr>
          <w:rFonts w:hint="eastAsia" w:ascii="仿宋_GB2312" w:eastAsia="仿宋_GB2312"/>
          <w:sz w:val="32"/>
          <w:szCs w:val="32"/>
        </w:rPr>
        <w:t>及时关注系统审批意见，</w:t>
      </w:r>
      <w:r>
        <w:rPr>
          <w:rFonts w:ascii="仿宋_GB2312" w:eastAsia="仿宋_GB2312"/>
          <w:sz w:val="32"/>
          <w:szCs w:val="32"/>
        </w:rPr>
        <w:t>根据系统提示信息及时办理有关手续。</w:t>
      </w:r>
      <w:r>
        <w:rPr>
          <w:rFonts w:hint="eastAsia" w:ascii="仿宋_GB2312" w:eastAsia="仿宋_GB2312"/>
          <w:sz w:val="32"/>
          <w:szCs w:val="32"/>
        </w:rPr>
        <w:t>本资助申请事项不设短信、电话和邮件等形式的通知推送。</w:t>
      </w:r>
    </w:p>
    <w:p>
      <w:pPr>
        <w:numPr>
          <w:ilvl w:val="255"/>
          <w:numId w:val="0"/>
        </w:numPr>
        <w:snapToGrid w:val="0"/>
        <w:spacing w:line="560" w:lineRule="exact"/>
        <w:ind w:firstLine="640" w:firstLineChars="200"/>
        <w:jc w:val="both"/>
        <w:rPr>
          <w:rFonts w:ascii="仿宋_GB2312" w:hAnsi="仿宋_GB2312" w:eastAsia="仿宋_GB2312" w:cs="仿宋_GB2312"/>
          <w:b/>
          <w:sz w:val="32"/>
          <w:szCs w:val="32"/>
        </w:rPr>
      </w:pPr>
      <w:r>
        <w:rPr>
          <w:rFonts w:hint="eastAsia" w:ascii="仿宋_GB2312" w:hAnsi="仿宋_GB2312" w:eastAsia="仿宋_GB2312" w:cs="仿宋_GB2312"/>
          <w:sz w:val="32"/>
          <w:szCs w:val="32"/>
          <w:lang w:val="en-US" w:eastAsia="zh-CN"/>
        </w:rPr>
        <w:t>4</w:t>
      </w:r>
      <w:r>
        <w:rPr>
          <w:rFonts w:hint="eastAsia" w:ascii="仿宋_GB2312" w:eastAsia="仿宋_GB2312"/>
          <w:sz w:val="32"/>
          <w:szCs w:val="32"/>
        </w:rPr>
        <w:t>．</w:t>
      </w:r>
      <w:r>
        <w:rPr>
          <w:rFonts w:hint="eastAsia" w:ascii="仿宋_GB2312" w:hAnsi="仿宋_GB2312" w:eastAsia="仿宋_GB2312" w:cs="仿宋_GB2312"/>
          <w:sz w:val="32"/>
          <w:szCs w:val="32"/>
        </w:rPr>
        <w:t>本</w:t>
      </w:r>
      <w:r>
        <w:rPr>
          <w:rFonts w:hint="eastAsia" w:ascii="仿宋_GB2312" w:eastAsia="仿宋_GB2312"/>
          <w:sz w:val="32"/>
          <w:szCs w:val="32"/>
        </w:rPr>
        <w:t>资助专项资金的发放时间将根据市财政预算具体规划而定，届时将另行通知办理领款手续，请按通知要求办理。</w:t>
      </w:r>
    </w:p>
    <w:p>
      <w:pPr>
        <w:pStyle w:val="2"/>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560" w:lineRule="exact"/>
        <w:ind w:leftChars="0" w:firstLine="640" w:firstLineChars="200"/>
        <w:jc w:val="both"/>
        <w:textAlignment w:val="auto"/>
        <w:rPr>
          <w:rFonts w:hint="default" w:ascii="Times New Roman" w:hAnsi="Times New Roman" w:eastAsia="黑体" w:cs="仿宋_GB2312"/>
          <w:b w:val="0"/>
          <w:bCs w:val="0"/>
          <w:sz w:val="32"/>
          <w:szCs w:val="32"/>
          <w:lang w:val="en-US" w:eastAsia="zh-CN"/>
        </w:rPr>
      </w:pPr>
      <w:r>
        <w:rPr>
          <w:rFonts w:hint="eastAsia" w:ascii="Times New Roman" w:hAnsi="Times New Roman" w:eastAsia="黑体" w:cs="仿宋_GB2312"/>
          <w:b w:val="0"/>
          <w:bCs w:val="0"/>
          <w:sz w:val="32"/>
          <w:szCs w:val="32"/>
          <w:lang w:val="en-US" w:eastAsia="zh-CN"/>
        </w:rPr>
        <w:t>十一、</w:t>
      </w:r>
      <w:r>
        <w:rPr>
          <w:rFonts w:hint="default" w:ascii="Times New Roman" w:hAnsi="Times New Roman" w:eastAsia="黑体" w:cs="仿宋_GB2312"/>
          <w:b w:val="0"/>
          <w:bCs w:val="0"/>
          <w:sz w:val="32"/>
          <w:szCs w:val="32"/>
          <w:lang w:val="en-US" w:eastAsia="zh-CN"/>
        </w:rPr>
        <w:t>合规提示</w:t>
      </w:r>
    </w:p>
    <w:p>
      <w:pPr>
        <w:pStyle w:val="2"/>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default" w:ascii="仿宋_GB2312" w:eastAsia="仿宋_GB2312"/>
          <w:b w:val="0"/>
          <w:sz w:val="32"/>
          <w:szCs w:val="32"/>
        </w:rPr>
      </w:pPr>
      <w:r>
        <w:rPr>
          <w:rFonts w:hint="eastAsia" w:ascii="仿宋_GB2312" w:eastAsia="仿宋_GB2312"/>
          <w:b w:val="0"/>
          <w:sz w:val="32"/>
          <w:szCs w:val="32"/>
          <w:lang w:eastAsia="zh-CN"/>
        </w:rPr>
        <w:t>（</w:t>
      </w:r>
      <w:r>
        <w:rPr>
          <w:rFonts w:hint="eastAsia" w:ascii="仿宋_GB2312" w:eastAsia="仿宋_GB2312"/>
          <w:b w:val="0"/>
          <w:sz w:val="32"/>
          <w:szCs w:val="32"/>
          <w:lang w:val="en-US" w:eastAsia="zh-CN"/>
        </w:rPr>
        <w:t>一</w:t>
      </w:r>
      <w:r>
        <w:rPr>
          <w:rFonts w:hint="eastAsia" w:ascii="仿宋_GB2312" w:eastAsia="仿宋_GB2312"/>
          <w:b w:val="0"/>
          <w:sz w:val="32"/>
          <w:szCs w:val="32"/>
          <w:lang w:eastAsia="zh-CN"/>
        </w:rPr>
        <w:t>）</w:t>
      </w:r>
      <w:r>
        <w:rPr>
          <w:rFonts w:ascii="仿宋_GB2312" w:eastAsia="仿宋_GB2312"/>
          <w:b w:val="0"/>
          <w:sz w:val="32"/>
          <w:szCs w:val="32"/>
        </w:rPr>
        <w:t>《深圳市市场监督管理局知识产权领域专项资金操作规程》第三十四条规定：申请人应对提交的申请材料真实性、合法性、有效性负责。申请人利用虚假材料或其他不正当行为骗取、套取、虚报、冒领、截留、挪用专项资金或者违反其它财务纪律的，按照有关规定处理；情节严重的，依照国家相关法律、法规移交有关部门处理。</w:t>
      </w:r>
    </w:p>
    <w:p>
      <w:pPr>
        <w:pStyle w:val="2"/>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default" w:ascii="仿宋_GB2312" w:eastAsia="仿宋_GB2312"/>
          <w:b w:val="0"/>
          <w:sz w:val="32"/>
          <w:szCs w:val="32"/>
        </w:rPr>
      </w:pPr>
      <w:r>
        <w:rPr>
          <w:rFonts w:hint="eastAsia" w:ascii="仿宋_GB2312" w:eastAsia="仿宋_GB2312"/>
          <w:b w:val="0"/>
          <w:sz w:val="32"/>
          <w:szCs w:val="32"/>
          <w:lang w:eastAsia="zh-CN"/>
        </w:rPr>
        <w:t>（</w:t>
      </w:r>
      <w:r>
        <w:rPr>
          <w:rFonts w:hint="eastAsia" w:ascii="仿宋_GB2312" w:eastAsia="仿宋_GB2312"/>
          <w:b w:val="0"/>
          <w:sz w:val="32"/>
          <w:szCs w:val="32"/>
          <w:lang w:val="en-US" w:eastAsia="zh-CN"/>
        </w:rPr>
        <w:t>二</w:t>
      </w:r>
      <w:r>
        <w:rPr>
          <w:rFonts w:hint="eastAsia" w:ascii="仿宋_GB2312" w:eastAsia="仿宋_GB2312"/>
          <w:b w:val="0"/>
          <w:sz w:val="32"/>
          <w:szCs w:val="32"/>
          <w:lang w:eastAsia="zh-CN"/>
        </w:rPr>
        <w:t>）</w:t>
      </w:r>
      <w:r>
        <w:rPr>
          <w:rFonts w:ascii="仿宋_GB2312" w:eastAsia="仿宋_GB2312"/>
          <w:b w:val="0"/>
          <w:sz w:val="32"/>
          <w:szCs w:val="32"/>
        </w:rPr>
        <w:t>《深圳市市场监督管理局知识产权领域专项资金操作规程》第三十五条规定：受委托的第三方审计机构或专业机构在审计或核验过程中，存在弄虚作假、隐瞒事实真相或与受资助单位串通作弊并出具相关报告的，按照有关规定追究责任。</w:t>
      </w:r>
    </w:p>
    <w:p>
      <w:pPr>
        <w:pStyle w:val="2"/>
        <w:snapToGrid w:val="0"/>
        <w:spacing w:before="0" w:beforeAutospacing="0" w:after="0" w:afterAutospacing="0" w:line="560" w:lineRule="exact"/>
        <w:ind w:firstLine="640" w:firstLineChars="200"/>
        <w:jc w:val="both"/>
        <w:rPr>
          <w:rFonts w:hint="default" w:ascii="仿宋_GB2312" w:eastAsia="仿宋_GB2312"/>
          <w:b w:val="0"/>
          <w:sz w:val="32"/>
          <w:szCs w:val="32"/>
        </w:rPr>
      </w:pPr>
      <w:r>
        <w:rPr>
          <w:rFonts w:ascii="仿宋_GB2312" w:eastAsia="仿宋_GB2312"/>
          <w:b w:val="0"/>
          <w:sz w:val="32"/>
          <w:szCs w:val="32"/>
        </w:rPr>
        <w:t>（三）根据上述规定，</w:t>
      </w:r>
      <w:r>
        <w:rPr>
          <w:rFonts w:hint="eastAsia" w:ascii="仿宋_GB2312" w:eastAsia="仿宋_GB2312"/>
          <w:b w:val="0"/>
          <w:sz w:val="32"/>
          <w:szCs w:val="32"/>
        </w:rPr>
        <w:t>申请人在提出资助申请时必须作出合规性承诺（在资助申报系统中操作），否则不予受理。</w:t>
      </w:r>
    </w:p>
    <w:p>
      <w:pPr>
        <w:pStyle w:val="2"/>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560" w:lineRule="exact"/>
        <w:ind w:leftChars="0" w:firstLine="640" w:firstLineChars="200"/>
        <w:jc w:val="both"/>
        <w:textAlignment w:val="auto"/>
        <w:rPr>
          <w:rFonts w:hint="default" w:ascii="Times New Roman" w:hAnsi="Times New Roman" w:eastAsia="黑体" w:cs="仿宋_GB2312"/>
          <w:b w:val="0"/>
          <w:bCs w:val="0"/>
          <w:sz w:val="32"/>
          <w:szCs w:val="32"/>
          <w:lang w:val="en-US" w:eastAsia="zh-CN"/>
        </w:rPr>
      </w:pPr>
      <w:r>
        <w:rPr>
          <w:rFonts w:hint="eastAsia" w:ascii="Times New Roman" w:hAnsi="Times New Roman" w:eastAsia="黑体" w:cs="仿宋_GB2312"/>
          <w:b w:val="0"/>
          <w:bCs w:val="0"/>
          <w:sz w:val="32"/>
          <w:szCs w:val="32"/>
          <w:lang w:val="en-US" w:eastAsia="zh-CN"/>
        </w:rPr>
        <w:t>十二、</w:t>
      </w:r>
      <w:r>
        <w:rPr>
          <w:rFonts w:hint="default" w:ascii="Times New Roman" w:hAnsi="Times New Roman" w:eastAsia="黑体" w:cs="仿宋_GB2312"/>
          <w:b w:val="0"/>
          <w:bCs w:val="0"/>
          <w:sz w:val="32"/>
          <w:szCs w:val="32"/>
          <w:lang w:val="en-US" w:eastAsia="zh-CN"/>
        </w:rPr>
        <w:t>收费情况</w:t>
      </w:r>
    </w:p>
    <w:p>
      <w:pPr>
        <w:snapToGrid w:val="0"/>
        <w:spacing w:line="560" w:lineRule="exact"/>
        <w:ind w:firstLine="640" w:firstLineChars="200"/>
        <w:jc w:val="both"/>
        <w:rPr>
          <w:rFonts w:ascii="仿宋_GB2312" w:eastAsia="仿宋_GB2312"/>
          <w:sz w:val="32"/>
          <w:szCs w:val="32"/>
        </w:rPr>
      </w:pPr>
      <w:r>
        <w:rPr>
          <w:rFonts w:hint="eastAsia" w:ascii="仿宋_GB2312" w:eastAsia="仿宋_GB2312"/>
          <w:sz w:val="32"/>
          <w:szCs w:val="32"/>
        </w:rPr>
        <w:t>不收费。</w:t>
      </w:r>
    </w:p>
    <w:p>
      <w:pPr>
        <w:pStyle w:val="2"/>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560" w:lineRule="exact"/>
        <w:ind w:leftChars="0" w:firstLine="640" w:firstLineChars="200"/>
        <w:jc w:val="both"/>
        <w:textAlignment w:val="auto"/>
        <w:rPr>
          <w:rFonts w:hint="default" w:ascii="Times New Roman" w:hAnsi="Times New Roman" w:eastAsia="黑体" w:cs="仿宋_GB2312"/>
          <w:b w:val="0"/>
          <w:bCs w:val="0"/>
          <w:sz w:val="32"/>
          <w:szCs w:val="32"/>
        </w:rPr>
      </w:pPr>
      <w:r>
        <w:rPr>
          <w:rFonts w:hint="eastAsia" w:ascii="Times New Roman" w:hAnsi="Times New Roman" w:eastAsia="黑体" w:cs="仿宋_GB2312"/>
          <w:b w:val="0"/>
          <w:bCs w:val="0"/>
          <w:sz w:val="32"/>
          <w:szCs w:val="32"/>
          <w:lang w:val="en-US" w:eastAsia="zh-CN"/>
        </w:rPr>
        <w:t>十三、</w:t>
      </w:r>
      <w:r>
        <w:rPr>
          <w:rFonts w:hint="default" w:ascii="Times New Roman" w:hAnsi="Times New Roman" w:eastAsia="黑体" w:cs="仿宋_GB2312"/>
          <w:b w:val="0"/>
          <w:bCs w:val="0"/>
          <w:sz w:val="32"/>
          <w:szCs w:val="32"/>
        </w:rPr>
        <w:t>年审或年检</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pPr>
      <w:r>
        <w:rPr>
          <w:rFonts w:hint="eastAsia" w:ascii="仿宋_GB2312" w:eastAsia="仿宋_GB2312"/>
          <w:sz w:val="32"/>
          <w:szCs w:val="32"/>
        </w:rPr>
        <w:t>无年审、年检</w:t>
      </w:r>
      <w:r>
        <w:rPr>
          <w:rFonts w:hint="eastAsia" w:ascii="仿宋_GB2312" w:eastAsia="仿宋_GB2312"/>
          <w:sz w:val="32"/>
          <w:szCs w:val="32"/>
          <w:lang w:eastAsia="zh-CN"/>
        </w:rPr>
        <w:t>。</w:t>
      </w:r>
    </w:p>
    <w:p>
      <w:pPr>
        <w:sectPr>
          <w:pgSz w:w="11906" w:h="16838"/>
          <w:pgMar w:top="1440" w:right="1800" w:bottom="1440" w:left="1800" w:header="851" w:footer="992" w:gutter="0"/>
          <w:cols w:space="720" w:num="1"/>
          <w:docGrid w:type="lines" w:linePitch="312" w:charSpace="0"/>
        </w:sectPr>
      </w:pPr>
    </w:p>
    <w:p>
      <w:pPr>
        <w:jc w:val="center"/>
        <w:rPr>
          <w:rFonts w:hint="eastAsia" w:ascii="方正小标宋简体" w:eastAsia="方正小标宋简体"/>
          <w:sz w:val="44"/>
          <w:szCs w:val="44"/>
          <w:lang w:val="en-US" w:eastAsia="zh-CN"/>
        </w:rPr>
      </w:pPr>
      <w:r>
        <w:rPr>
          <w:rFonts w:hint="eastAsia" w:ascii="方正小标宋简体" w:eastAsia="方正小标宋简体"/>
          <w:sz w:val="44"/>
          <w:szCs w:val="44"/>
          <w:lang w:val="en-US" w:eastAsia="zh-CN"/>
        </w:rPr>
        <w:t>2021年知识产权培训课程资助项目清单</w:t>
      </w:r>
    </w:p>
    <w:p>
      <w:pPr>
        <w:spacing w:line="400" w:lineRule="exact"/>
        <w:jc w:val="right"/>
        <w:rPr>
          <w:rFonts w:hint="eastAsia" w:ascii="仿宋_GB2312" w:eastAsia="仿宋_GB2312"/>
          <w:sz w:val="28"/>
          <w:szCs w:val="28"/>
          <w:lang w:val="en-US" w:eastAsia="zh-CN"/>
        </w:rPr>
      </w:pPr>
      <w:r>
        <w:rPr>
          <w:rFonts w:hint="eastAsia" w:ascii="仿宋_GB2312" w:eastAsia="仿宋_GB2312"/>
          <w:sz w:val="28"/>
          <w:szCs w:val="28"/>
          <w:lang w:val="en-US" w:eastAsia="zh-CN"/>
        </w:rPr>
        <w:t>单位：万元</w:t>
      </w:r>
    </w:p>
    <w:tbl>
      <w:tblPr>
        <w:tblStyle w:val="3"/>
        <w:tblW w:w="141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1228"/>
        <w:gridCol w:w="2059"/>
        <w:gridCol w:w="4445"/>
        <w:gridCol w:w="3900"/>
        <w:gridCol w:w="914"/>
        <w:gridCol w:w="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2" w:type="dxa"/>
            <w:noWrap w:val="0"/>
            <w:vAlign w:val="top"/>
          </w:tcPr>
          <w:p>
            <w:pPr>
              <w:spacing w:line="400" w:lineRule="exact"/>
              <w:jc w:val="center"/>
              <w:rPr>
                <w:rFonts w:ascii="仿宋_GB2312" w:eastAsia="仿宋_GB2312"/>
                <w:b/>
                <w:sz w:val="32"/>
                <w:szCs w:val="32"/>
              </w:rPr>
            </w:pPr>
            <w:r>
              <w:rPr>
                <w:rFonts w:hint="eastAsia" w:ascii="仿宋_GB2312" w:eastAsia="仿宋_GB2312"/>
                <w:b/>
                <w:sz w:val="32"/>
                <w:szCs w:val="32"/>
              </w:rPr>
              <w:t>序号</w:t>
            </w:r>
          </w:p>
        </w:tc>
        <w:tc>
          <w:tcPr>
            <w:tcW w:w="1228" w:type="dxa"/>
            <w:noWrap w:val="0"/>
            <w:vAlign w:val="top"/>
          </w:tcPr>
          <w:p>
            <w:pPr>
              <w:spacing w:line="400" w:lineRule="exact"/>
              <w:jc w:val="center"/>
              <w:rPr>
                <w:rFonts w:hint="eastAsia" w:ascii="仿宋_GB2312" w:eastAsia="仿宋_GB2312"/>
                <w:b/>
                <w:sz w:val="32"/>
                <w:szCs w:val="32"/>
                <w:lang w:eastAsia="zh-CN"/>
              </w:rPr>
            </w:pPr>
            <w:r>
              <w:rPr>
                <w:rFonts w:hint="eastAsia" w:ascii="仿宋_GB2312" w:eastAsia="仿宋_GB2312"/>
                <w:b/>
                <w:sz w:val="32"/>
                <w:szCs w:val="32"/>
                <w:lang w:eastAsia="zh-CN"/>
              </w:rPr>
              <w:t>层次</w:t>
            </w:r>
          </w:p>
        </w:tc>
        <w:tc>
          <w:tcPr>
            <w:tcW w:w="2059" w:type="dxa"/>
            <w:noWrap w:val="0"/>
            <w:vAlign w:val="top"/>
          </w:tcPr>
          <w:p>
            <w:pPr>
              <w:spacing w:line="400" w:lineRule="exact"/>
              <w:jc w:val="center"/>
              <w:rPr>
                <w:rFonts w:ascii="仿宋_GB2312" w:eastAsia="仿宋_GB2312"/>
                <w:b/>
                <w:sz w:val="32"/>
                <w:szCs w:val="32"/>
              </w:rPr>
            </w:pPr>
            <w:r>
              <w:rPr>
                <w:rFonts w:hint="eastAsia" w:ascii="仿宋_GB2312" w:eastAsia="仿宋_GB2312"/>
                <w:b/>
                <w:sz w:val="32"/>
                <w:szCs w:val="32"/>
              </w:rPr>
              <w:t>项目名称</w:t>
            </w:r>
          </w:p>
        </w:tc>
        <w:tc>
          <w:tcPr>
            <w:tcW w:w="4445" w:type="dxa"/>
            <w:noWrap w:val="0"/>
            <w:vAlign w:val="top"/>
          </w:tcPr>
          <w:p>
            <w:pPr>
              <w:spacing w:line="400" w:lineRule="exact"/>
              <w:jc w:val="center"/>
              <w:rPr>
                <w:rFonts w:ascii="仿宋_GB2312" w:eastAsia="仿宋_GB2312"/>
                <w:b/>
                <w:sz w:val="32"/>
                <w:szCs w:val="32"/>
              </w:rPr>
            </w:pPr>
            <w:r>
              <w:rPr>
                <w:rFonts w:hint="eastAsia" w:ascii="仿宋_GB2312" w:eastAsia="仿宋_GB2312"/>
                <w:b/>
                <w:sz w:val="32"/>
                <w:szCs w:val="32"/>
              </w:rPr>
              <w:t>主要内容</w:t>
            </w:r>
          </w:p>
        </w:tc>
        <w:tc>
          <w:tcPr>
            <w:tcW w:w="3900" w:type="dxa"/>
            <w:noWrap w:val="0"/>
            <w:vAlign w:val="top"/>
          </w:tcPr>
          <w:p>
            <w:pPr>
              <w:spacing w:line="400" w:lineRule="exact"/>
              <w:jc w:val="center"/>
              <w:rPr>
                <w:rFonts w:ascii="仿宋_GB2312" w:eastAsia="仿宋_GB2312"/>
                <w:b/>
                <w:sz w:val="32"/>
                <w:szCs w:val="32"/>
              </w:rPr>
            </w:pPr>
            <w:r>
              <w:rPr>
                <w:rFonts w:hint="eastAsia" w:ascii="仿宋_GB2312" w:eastAsia="仿宋_GB2312"/>
                <w:b/>
                <w:sz w:val="32"/>
                <w:szCs w:val="32"/>
              </w:rPr>
              <w:t>拟培训的对象和人数</w:t>
            </w:r>
          </w:p>
        </w:tc>
        <w:tc>
          <w:tcPr>
            <w:tcW w:w="914" w:type="dxa"/>
            <w:noWrap w:val="0"/>
            <w:vAlign w:val="top"/>
          </w:tcPr>
          <w:p>
            <w:pPr>
              <w:spacing w:line="400" w:lineRule="exact"/>
              <w:jc w:val="center"/>
              <w:rPr>
                <w:rFonts w:hint="eastAsia" w:ascii="仿宋_GB2312" w:eastAsia="仿宋_GB2312"/>
                <w:b/>
                <w:sz w:val="32"/>
                <w:szCs w:val="32"/>
                <w:lang w:eastAsia="zh-CN"/>
              </w:rPr>
            </w:pPr>
            <w:r>
              <w:rPr>
                <w:rFonts w:hint="eastAsia" w:ascii="仿宋_GB2312" w:eastAsia="仿宋_GB2312"/>
                <w:b/>
                <w:sz w:val="32"/>
                <w:szCs w:val="32"/>
                <w:lang w:eastAsia="zh-CN"/>
              </w:rPr>
              <w:t>培训时长</w:t>
            </w:r>
          </w:p>
        </w:tc>
        <w:tc>
          <w:tcPr>
            <w:tcW w:w="879" w:type="dxa"/>
            <w:noWrap w:val="0"/>
            <w:vAlign w:val="top"/>
          </w:tcPr>
          <w:p>
            <w:pPr>
              <w:spacing w:line="400" w:lineRule="exact"/>
              <w:jc w:val="center"/>
              <w:rPr>
                <w:rFonts w:hint="eastAsia" w:ascii="仿宋_GB2312" w:eastAsia="仿宋_GB2312"/>
                <w:b/>
                <w:sz w:val="32"/>
                <w:szCs w:val="32"/>
                <w:lang w:eastAsia="zh-CN"/>
              </w:rPr>
            </w:pPr>
            <w:r>
              <w:rPr>
                <w:rFonts w:hint="eastAsia" w:ascii="仿宋_GB2312" w:eastAsia="仿宋_GB2312"/>
                <w:b/>
                <w:sz w:val="32"/>
                <w:szCs w:val="32"/>
                <w:lang w:eastAsia="zh-CN"/>
              </w:rPr>
              <w:t>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2"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228" w:type="dxa"/>
            <w:vMerge w:val="restart"/>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初级知识产权能力提升系列培训</w:t>
            </w:r>
            <w:r>
              <w:rPr>
                <w:rFonts w:hint="eastAsia" w:ascii="宋体" w:hAnsi="宋体" w:eastAsia="宋体" w:cs="宋体"/>
                <w:sz w:val="24"/>
                <w:szCs w:val="24"/>
                <w:lang w:val="en-US" w:eastAsia="zh-CN"/>
              </w:rPr>
              <w:br w:type="textWrapping"/>
            </w:r>
            <w:r>
              <w:rPr>
                <w:rFonts w:hint="eastAsia" w:ascii="宋体" w:hAnsi="宋体" w:eastAsia="宋体" w:cs="宋体"/>
                <w:sz w:val="24"/>
                <w:szCs w:val="24"/>
                <w:lang w:val="en-US" w:eastAsia="zh-CN"/>
              </w:rPr>
              <w:t>（初级）</w:t>
            </w:r>
          </w:p>
        </w:tc>
        <w:tc>
          <w:tcPr>
            <w:tcW w:w="2059"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知识产权意识提升宣贯培训项目</w:t>
            </w:r>
          </w:p>
        </w:tc>
        <w:tc>
          <w:tcPr>
            <w:tcW w:w="4445"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知识产权贯标宣贯、企业研发与知识产权管理的讲解等。</w:t>
            </w:r>
          </w:p>
        </w:tc>
        <w:tc>
          <w:tcPr>
            <w:tcW w:w="3900"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相关部门知识产权工作人员、企业管理层、研发负责人、知识产权管理负责人等</w:t>
            </w:r>
          </w:p>
        </w:tc>
        <w:tc>
          <w:tcPr>
            <w:tcW w:w="914"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1期</w:t>
            </w:r>
          </w:p>
        </w:tc>
        <w:tc>
          <w:tcPr>
            <w:tcW w:w="879"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2"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1228" w:type="dxa"/>
            <w:vMerge w:val="continue"/>
            <w:noWrap w:val="0"/>
            <w:vAlign w:val="top"/>
          </w:tcPr>
          <w:p>
            <w:pPr>
              <w:spacing w:line="400" w:lineRule="exact"/>
              <w:jc w:val="center"/>
              <w:rPr>
                <w:rFonts w:hint="eastAsia" w:ascii="宋体" w:hAnsi="宋体" w:eastAsia="宋体" w:cs="宋体"/>
                <w:sz w:val="24"/>
                <w:szCs w:val="24"/>
                <w:lang w:val="en-US" w:eastAsia="zh-CN"/>
              </w:rPr>
            </w:pPr>
          </w:p>
        </w:tc>
        <w:tc>
          <w:tcPr>
            <w:tcW w:w="2059"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知识产权知识产权维权策略</w:t>
            </w:r>
          </w:p>
        </w:tc>
        <w:tc>
          <w:tcPr>
            <w:tcW w:w="4445"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如何监控知识产权侵权、搜集侵权证据、制定维权策略。企业应该如何做好商标维权和品牌打假的管理工作等。</w:t>
            </w:r>
          </w:p>
        </w:tc>
        <w:tc>
          <w:tcPr>
            <w:tcW w:w="3900"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相关部门知识产权工作人员、企业管理层、法务、研发负责人、知识产权管理负责人等</w:t>
            </w:r>
          </w:p>
        </w:tc>
        <w:tc>
          <w:tcPr>
            <w:tcW w:w="914"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1期</w:t>
            </w:r>
          </w:p>
        </w:tc>
        <w:tc>
          <w:tcPr>
            <w:tcW w:w="879"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2"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1228" w:type="dxa"/>
            <w:vMerge w:val="continue"/>
            <w:noWrap w:val="0"/>
            <w:vAlign w:val="top"/>
          </w:tcPr>
          <w:p>
            <w:pPr>
              <w:spacing w:line="400" w:lineRule="exact"/>
              <w:jc w:val="center"/>
              <w:rPr>
                <w:rFonts w:hint="eastAsia" w:ascii="宋体" w:hAnsi="宋体" w:eastAsia="宋体" w:cs="宋体"/>
                <w:sz w:val="24"/>
                <w:szCs w:val="24"/>
                <w:lang w:val="en-US" w:eastAsia="zh-CN"/>
              </w:rPr>
            </w:pPr>
          </w:p>
        </w:tc>
        <w:tc>
          <w:tcPr>
            <w:tcW w:w="2059"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知识产权证据规则及典型案例</w:t>
            </w:r>
          </w:p>
        </w:tc>
        <w:tc>
          <w:tcPr>
            <w:tcW w:w="4445"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了解知识产权证据的如何搜集、举证时间、期限、方式、责任分配,证据如何影响案件立案与否、如何审理，如何影响案件中止、侵权赔偿额等事项。</w:t>
            </w:r>
          </w:p>
        </w:tc>
        <w:tc>
          <w:tcPr>
            <w:tcW w:w="3900"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相关部门知识产权工作人员、企业管理层、法务、研发负责人、知识产权管理负责人等</w:t>
            </w:r>
          </w:p>
        </w:tc>
        <w:tc>
          <w:tcPr>
            <w:tcW w:w="914"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1期</w:t>
            </w:r>
          </w:p>
        </w:tc>
        <w:tc>
          <w:tcPr>
            <w:tcW w:w="879"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2"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p>
        </w:tc>
        <w:tc>
          <w:tcPr>
            <w:tcW w:w="1228" w:type="dxa"/>
            <w:vMerge w:val="continue"/>
            <w:noWrap w:val="0"/>
            <w:vAlign w:val="top"/>
          </w:tcPr>
          <w:p>
            <w:pPr>
              <w:spacing w:line="400" w:lineRule="exact"/>
              <w:jc w:val="center"/>
              <w:rPr>
                <w:rFonts w:hint="eastAsia" w:ascii="宋体" w:hAnsi="宋体" w:eastAsia="宋体" w:cs="宋体"/>
                <w:sz w:val="24"/>
                <w:szCs w:val="24"/>
                <w:lang w:val="en-US" w:eastAsia="zh-CN"/>
              </w:rPr>
            </w:pPr>
          </w:p>
        </w:tc>
        <w:tc>
          <w:tcPr>
            <w:tcW w:w="2059"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商标审查标准及案例解读</w:t>
            </w:r>
          </w:p>
        </w:tc>
        <w:tc>
          <w:tcPr>
            <w:tcW w:w="4445"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商标审查审理标准、最高人民法院关于审理商标授权确权行政案件若干问题的规定等，海外商标审查标准等。</w:t>
            </w:r>
          </w:p>
        </w:tc>
        <w:tc>
          <w:tcPr>
            <w:tcW w:w="3900"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相关部门知识产权工作人员、企业管理层、法务、研发负责人、知识产权管理负责人等</w:t>
            </w:r>
          </w:p>
        </w:tc>
        <w:tc>
          <w:tcPr>
            <w:tcW w:w="914"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1期</w:t>
            </w:r>
          </w:p>
        </w:tc>
        <w:tc>
          <w:tcPr>
            <w:tcW w:w="879"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2"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w:t>
            </w:r>
          </w:p>
        </w:tc>
        <w:tc>
          <w:tcPr>
            <w:tcW w:w="1228" w:type="dxa"/>
            <w:vMerge w:val="continue"/>
            <w:noWrap w:val="0"/>
            <w:vAlign w:val="top"/>
          </w:tcPr>
          <w:p>
            <w:pPr>
              <w:spacing w:line="400" w:lineRule="exact"/>
              <w:jc w:val="center"/>
              <w:rPr>
                <w:rFonts w:hint="eastAsia" w:ascii="宋体" w:hAnsi="宋体" w:eastAsia="宋体" w:cs="宋体"/>
                <w:sz w:val="24"/>
                <w:szCs w:val="24"/>
                <w:lang w:val="en-US" w:eastAsia="zh-CN"/>
              </w:rPr>
            </w:pPr>
          </w:p>
        </w:tc>
        <w:tc>
          <w:tcPr>
            <w:tcW w:w="2059"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企业知识产权合规性经营及风险控制培训</w:t>
            </w:r>
          </w:p>
        </w:tc>
        <w:tc>
          <w:tcPr>
            <w:tcW w:w="4445"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cs="宋体"/>
                <w:sz w:val="24"/>
              </w:rPr>
              <w:t>规范企业经营过程中有效管理和相关信息披露的安全性，使用合法合规性，防范知识产权各类风险，强化对知识产权风险的预防与控制，保护企业与知识产权发明人的合法权益。</w:t>
            </w:r>
            <w:r>
              <w:rPr>
                <w:rFonts w:hint="eastAsia" w:ascii="宋体" w:hAnsi="宋体" w:cs="宋体"/>
                <w:sz w:val="24"/>
                <w:lang w:eastAsia="zh-CN"/>
              </w:rPr>
              <w:t>减少因内部经营不合规导致的知识产权问题。</w:t>
            </w:r>
          </w:p>
        </w:tc>
        <w:tc>
          <w:tcPr>
            <w:tcW w:w="3900"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企业管理层、高级管理人员、法务</w:t>
            </w:r>
            <w:r>
              <w:rPr>
                <w:rFonts w:hint="eastAsia" w:ascii="宋体" w:hAnsi="宋体" w:cs="宋体"/>
                <w:sz w:val="24"/>
                <w:szCs w:val="24"/>
                <w:lang w:val="en-US" w:eastAsia="zh-CN"/>
              </w:rPr>
              <w:t>、研发负责人、知识产权管理负责人等</w:t>
            </w:r>
          </w:p>
        </w:tc>
        <w:tc>
          <w:tcPr>
            <w:tcW w:w="914"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1期</w:t>
            </w:r>
          </w:p>
        </w:tc>
        <w:tc>
          <w:tcPr>
            <w:tcW w:w="879"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2"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w:t>
            </w:r>
          </w:p>
        </w:tc>
        <w:tc>
          <w:tcPr>
            <w:tcW w:w="1228" w:type="dxa"/>
            <w:vMerge w:val="continue"/>
            <w:noWrap w:val="0"/>
            <w:vAlign w:val="top"/>
          </w:tcPr>
          <w:p>
            <w:pPr>
              <w:spacing w:line="400" w:lineRule="exact"/>
              <w:jc w:val="center"/>
              <w:rPr>
                <w:rFonts w:hint="eastAsia" w:ascii="宋体" w:hAnsi="宋体" w:eastAsia="宋体" w:cs="宋体"/>
                <w:sz w:val="24"/>
                <w:szCs w:val="24"/>
                <w:lang w:val="en-US" w:eastAsia="zh-CN"/>
              </w:rPr>
            </w:pPr>
          </w:p>
        </w:tc>
        <w:tc>
          <w:tcPr>
            <w:tcW w:w="2059"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高价值专利撰写与布局</w:t>
            </w:r>
          </w:p>
        </w:tc>
        <w:tc>
          <w:tcPr>
            <w:tcW w:w="4445"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高价值专利撰写、布局及案例分析</w:t>
            </w:r>
          </w:p>
        </w:tc>
        <w:tc>
          <w:tcPr>
            <w:tcW w:w="3900"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企业知识产权管理人员、法务</w:t>
            </w:r>
          </w:p>
        </w:tc>
        <w:tc>
          <w:tcPr>
            <w:tcW w:w="914"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1期</w:t>
            </w:r>
          </w:p>
        </w:tc>
        <w:tc>
          <w:tcPr>
            <w:tcW w:w="879"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2"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w:t>
            </w:r>
          </w:p>
        </w:tc>
        <w:tc>
          <w:tcPr>
            <w:tcW w:w="1228" w:type="dxa"/>
            <w:vMerge w:val="continue"/>
            <w:noWrap w:val="0"/>
            <w:vAlign w:val="top"/>
          </w:tcPr>
          <w:p>
            <w:pPr>
              <w:spacing w:line="400" w:lineRule="exact"/>
              <w:jc w:val="center"/>
              <w:rPr>
                <w:rFonts w:hint="eastAsia" w:ascii="宋体" w:hAnsi="宋体" w:eastAsia="宋体" w:cs="宋体"/>
                <w:sz w:val="24"/>
                <w:szCs w:val="24"/>
                <w:lang w:val="en-US" w:eastAsia="zh-CN"/>
              </w:rPr>
            </w:pPr>
          </w:p>
        </w:tc>
        <w:tc>
          <w:tcPr>
            <w:tcW w:w="2059"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深圳市版权创新发展业务培训</w:t>
            </w:r>
          </w:p>
        </w:tc>
        <w:tc>
          <w:tcPr>
            <w:tcW w:w="4445"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培训讲解深圳市版权创新发展政策及有关先进经验案例</w:t>
            </w:r>
          </w:p>
        </w:tc>
        <w:tc>
          <w:tcPr>
            <w:tcW w:w="3900"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相关部门知识产权工作人员、企业管理层、研发负责人、知识产权管理负责人等</w:t>
            </w:r>
          </w:p>
        </w:tc>
        <w:tc>
          <w:tcPr>
            <w:tcW w:w="914"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1期</w:t>
            </w:r>
          </w:p>
        </w:tc>
        <w:tc>
          <w:tcPr>
            <w:tcW w:w="879"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2"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w:t>
            </w:r>
          </w:p>
        </w:tc>
        <w:tc>
          <w:tcPr>
            <w:tcW w:w="1228" w:type="dxa"/>
            <w:vMerge w:val="continue"/>
            <w:noWrap w:val="0"/>
            <w:vAlign w:val="top"/>
          </w:tcPr>
          <w:p>
            <w:pPr>
              <w:spacing w:line="400" w:lineRule="exact"/>
              <w:jc w:val="center"/>
              <w:rPr>
                <w:rFonts w:hint="eastAsia" w:ascii="宋体" w:hAnsi="宋体" w:eastAsia="宋体" w:cs="宋体"/>
                <w:sz w:val="24"/>
                <w:szCs w:val="24"/>
                <w:lang w:val="en-US" w:eastAsia="zh-CN"/>
              </w:rPr>
            </w:pPr>
          </w:p>
        </w:tc>
        <w:tc>
          <w:tcPr>
            <w:tcW w:w="2059"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2021年深汕特别合作区知识产权综合业务培训</w:t>
            </w:r>
          </w:p>
        </w:tc>
        <w:tc>
          <w:tcPr>
            <w:tcW w:w="4445"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知识产权扶持与保护政策解读、基础业务培训</w:t>
            </w:r>
          </w:p>
        </w:tc>
        <w:tc>
          <w:tcPr>
            <w:tcW w:w="3900"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相关部门知识产权工作人员、企业管理层、研发负责人、知识产权管理负责人等</w:t>
            </w:r>
          </w:p>
        </w:tc>
        <w:tc>
          <w:tcPr>
            <w:tcW w:w="914"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1期</w:t>
            </w:r>
          </w:p>
        </w:tc>
        <w:tc>
          <w:tcPr>
            <w:tcW w:w="879"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2"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w:t>
            </w:r>
          </w:p>
        </w:tc>
        <w:tc>
          <w:tcPr>
            <w:tcW w:w="1228" w:type="dxa"/>
            <w:vMerge w:val="restart"/>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知识产权实务培训系列</w:t>
            </w:r>
            <w:r>
              <w:rPr>
                <w:rFonts w:hint="eastAsia" w:ascii="宋体" w:hAnsi="宋体" w:eastAsia="宋体" w:cs="宋体"/>
                <w:sz w:val="24"/>
                <w:szCs w:val="24"/>
                <w:lang w:val="en-US" w:eastAsia="zh-CN"/>
              </w:rPr>
              <w:br w:type="textWrapping"/>
            </w:r>
            <w:r>
              <w:rPr>
                <w:rFonts w:hint="eastAsia" w:ascii="宋体" w:hAnsi="宋体" w:eastAsia="宋体" w:cs="宋体"/>
                <w:sz w:val="24"/>
                <w:szCs w:val="24"/>
                <w:lang w:val="en-US" w:eastAsia="zh-CN"/>
              </w:rPr>
              <w:t>（中级）</w:t>
            </w:r>
          </w:p>
        </w:tc>
        <w:tc>
          <w:tcPr>
            <w:tcW w:w="2059"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企业商业秘密的保护与管控策略</w:t>
            </w:r>
          </w:p>
        </w:tc>
        <w:tc>
          <w:tcPr>
            <w:tcW w:w="4445"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商业秘密基础知识、商业秘密与专利、商业秘密保护策略及案例分析</w:t>
            </w:r>
          </w:p>
        </w:tc>
        <w:tc>
          <w:tcPr>
            <w:tcW w:w="3900"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相关部门知识产权工作人员、企业管理层、研发负责人、知识产权管理负责人等</w:t>
            </w:r>
          </w:p>
        </w:tc>
        <w:tc>
          <w:tcPr>
            <w:tcW w:w="914"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3期</w:t>
            </w:r>
          </w:p>
        </w:tc>
        <w:tc>
          <w:tcPr>
            <w:tcW w:w="879"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2"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w:t>
            </w:r>
          </w:p>
        </w:tc>
        <w:tc>
          <w:tcPr>
            <w:tcW w:w="1228" w:type="dxa"/>
            <w:vMerge w:val="continue"/>
            <w:noWrap w:val="0"/>
            <w:vAlign w:val="top"/>
          </w:tcPr>
          <w:p>
            <w:pPr>
              <w:spacing w:line="400" w:lineRule="exact"/>
              <w:jc w:val="center"/>
              <w:rPr>
                <w:rFonts w:hint="eastAsia" w:ascii="宋体" w:hAnsi="宋体" w:eastAsia="宋体" w:cs="宋体"/>
                <w:sz w:val="24"/>
                <w:szCs w:val="24"/>
                <w:lang w:val="en-US" w:eastAsia="zh-CN"/>
              </w:rPr>
            </w:pPr>
          </w:p>
        </w:tc>
        <w:tc>
          <w:tcPr>
            <w:tcW w:w="2059"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国内知识产权政策解读</w:t>
            </w:r>
          </w:p>
        </w:tc>
        <w:tc>
          <w:tcPr>
            <w:tcW w:w="4445"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习近平总书记关于全面加强知识产权保护工作的重要讲话精神解读；2.中办、国办《关于强化知识产权保护的意见》政策解读以及深圳市落实《关于强化知识产权保护的意见》实施方案等政策文件情况介绍；3.《深圳经济特区知识产权保护条例》政策解读宣贯；4.知识产权行政先行禁令政策解读宣贯；5.民法典、反垄断、反不正当竞争法与知识产权相关法律关系。</w:t>
            </w:r>
          </w:p>
        </w:tc>
        <w:tc>
          <w:tcPr>
            <w:tcW w:w="3900"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企业、知识产权服务机构等，以及市知识产权联席会议成员单位相关知识产权保护部门人员</w:t>
            </w:r>
          </w:p>
        </w:tc>
        <w:tc>
          <w:tcPr>
            <w:tcW w:w="914"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3期</w:t>
            </w:r>
          </w:p>
        </w:tc>
        <w:tc>
          <w:tcPr>
            <w:tcW w:w="879"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jc w:val="center"/>
        </w:trPr>
        <w:tc>
          <w:tcPr>
            <w:tcW w:w="702"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w:t>
            </w:r>
          </w:p>
        </w:tc>
        <w:tc>
          <w:tcPr>
            <w:tcW w:w="1228" w:type="dxa"/>
            <w:vMerge w:val="continue"/>
            <w:noWrap w:val="0"/>
            <w:vAlign w:val="top"/>
          </w:tcPr>
          <w:p>
            <w:pPr>
              <w:spacing w:line="400" w:lineRule="exact"/>
              <w:jc w:val="center"/>
              <w:rPr>
                <w:rFonts w:hint="eastAsia" w:ascii="宋体" w:hAnsi="宋体" w:eastAsia="宋体" w:cs="宋体"/>
                <w:sz w:val="24"/>
                <w:szCs w:val="24"/>
                <w:lang w:val="en-US" w:eastAsia="zh-CN"/>
              </w:rPr>
            </w:pPr>
          </w:p>
        </w:tc>
        <w:tc>
          <w:tcPr>
            <w:tcW w:w="2059"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知识产权保护能力提升培训</w:t>
            </w:r>
          </w:p>
        </w:tc>
        <w:tc>
          <w:tcPr>
            <w:tcW w:w="4445"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讲解培训知识产权侵权纠纷案件变化趋势、前沿技术特点、关键环节相关知识。2.讲解培训新领域、新业态知识产权特点及相应有效的预警、保护措施相关知识。3.讲解如何综合运用法律、行政、经济、技术、社会治理手段有效提升知识产权效能相关知识。</w:t>
            </w:r>
          </w:p>
        </w:tc>
        <w:tc>
          <w:tcPr>
            <w:tcW w:w="3900"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企业、知识产权服务机构等，以及市知识产权联席会议成员单位相关知识产权保护部门人员</w:t>
            </w:r>
          </w:p>
        </w:tc>
        <w:tc>
          <w:tcPr>
            <w:tcW w:w="914"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3期</w:t>
            </w:r>
          </w:p>
        </w:tc>
        <w:tc>
          <w:tcPr>
            <w:tcW w:w="879"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jc w:val="center"/>
        </w:trPr>
        <w:tc>
          <w:tcPr>
            <w:tcW w:w="702" w:type="dxa"/>
            <w:noWrap w:val="0"/>
            <w:vAlign w:val="top"/>
          </w:tcPr>
          <w:p>
            <w:pPr>
              <w:spacing w:line="400" w:lineRule="exact"/>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12</w:t>
            </w:r>
          </w:p>
        </w:tc>
        <w:tc>
          <w:tcPr>
            <w:tcW w:w="1228" w:type="dxa"/>
            <w:vMerge w:val="continue"/>
            <w:noWrap w:val="0"/>
            <w:vAlign w:val="top"/>
          </w:tcPr>
          <w:p>
            <w:pPr>
              <w:spacing w:line="400" w:lineRule="exact"/>
              <w:jc w:val="center"/>
              <w:rPr>
                <w:rFonts w:hint="eastAsia" w:ascii="宋体" w:hAnsi="宋体" w:eastAsia="宋体" w:cs="宋体"/>
                <w:sz w:val="24"/>
                <w:szCs w:val="24"/>
                <w:lang w:val="en-US" w:eastAsia="zh-CN"/>
              </w:rPr>
            </w:pPr>
          </w:p>
        </w:tc>
        <w:tc>
          <w:tcPr>
            <w:tcW w:w="2059"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软件正版化培训</w:t>
            </w:r>
          </w:p>
        </w:tc>
        <w:tc>
          <w:tcPr>
            <w:tcW w:w="4445"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针对政府机关和企业相关人员培训讲解《正版软件管理工作指南》、软件正版化实务工作等有关知识</w:t>
            </w:r>
          </w:p>
        </w:tc>
        <w:tc>
          <w:tcPr>
            <w:tcW w:w="3900"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市知识产权联席会议或深圳市推进使用正版软件工作联席会议制度（如有）成员单位相关业务工作人员；相关企业</w:t>
            </w:r>
          </w:p>
        </w:tc>
        <w:tc>
          <w:tcPr>
            <w:tcW w:w="914" w:type="dxa"/>
            <w:noWrap w:val="0"/>
            <w:vAlign w:val="top"/>
          </w:tcPr>
          <w:p>
            <w:pPr>
              <w:spacing w:line="400" w:lineRule="exact"/>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3期</w:t>
            </w:r>
          </w:p>
        </w:tc>
        <w:tc>
          <w:tcPr>
            <w:tcW w:w="879" w:type="dxa"/>
            <w:noWrap w:val="0"/>
            <w:vAlign w:val="top"/>
          </w:tcPr>
          <w:p>
            <w:pPr>
              <w:spacing w:line="400" w:lineRule="exact"/>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jc w:val="center"/>
        </w:trPr>
        <w:tc>
          <w:tcPr>
            <w:tcW w:w="702" w:type="dxa"/>
            <w:noWrap w:val="0"/>
            <w:vAlign w:val="top"/>
          </w:tcPr>
          <w:p>
            <w:pPr>
              <w:spacing w:line="400" w:lineRule="exact"/>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13</w:t>
            </w:r>
          </w:p>
        </w:tc>
        <w:tc>
          <w:tcPr>
            <w:tcW w:w="1228" w:type="dxa"/>
            <w:vMerge w:val="continue"/>
            <w:noWrap w:val="0"/>
            <w:vAlign w:val="top"/>
          </w:tcPr>
          <w:p>
            <w:pPr>
              <w:spacing w:line="400" w:lineRule="exact"/>
              <w:jc w:val="center"/>
              <w:rPr>
                <w:rFonts w:hint="eastAsia" w:ascii="宋体" w:hAnsi="宋体" w:eastAsia="宋体" w:cs="宋体"/>
                <w:sz w:val="24"/>
                <w:szCs w:val="24"/>
                <w:lang w:val="en-US" w:eastAsia="zh-CN"/>
              </w:rPr>
            </w:pPr>
          </w:p>
        </w:tc>
        <w:tc>
          <w:tcPr>
            <w:tcW w:w="2059"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知识产权社会治理能力提升</w:t>
            </w:r>
          </w:p>
        </w:tc>
        <w:tc>
          <w:tcPr>
            <w:tcW w:w="4445"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cs="宋体"/>
                <w:sz w:val="24"/>
                <w:lang w:eastAsia="zh-CN"/>
              </w:rPr>
              <w:t>知识产权联盟、协会及品牌示范基地管理能力提升培训，保护工作站工作及服务能力培训，使以上组织更好的服务成员单位及相关企业。</w:t>
            </w:r>
          </w:p>
        </w:tc>
        <w:tc>
          <w:tcPr>
            <w:tcW w:w="3900"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知识产权联盟、示范基地、协会相关负责人，知识产权保护工作站工作人员</w:t>
            </w:r>
          </w:p>
        </w:tc>
        <w:tc>
          <w:tcPr>
            <w:tcW w:w="914"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3期</w:t>
            </w:r>
          </w:p>
        </w:tc>
        <w:tc>
          <w:tcPr>
            <w:tcW w:w="879" w:type="dxa"/>
            <w:noWrap w:val="0"/>
            <w:vAlign w:val="top"/>
          </w:tcPr>
          <w:p>
            <w:pPr>
              <w:spacing w:line="400" w:lineRule="exact"/>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jc w:val="center"/>
        </w:trPr>
        <w:tc>
          <w:tcPr>
            <w:tcW w:w="702" w:type="dxa"/>
            <w:noWrap w:val="0"/>
            <w:vAlign w:val="top"/>
          </w:tcPr>
          <w:p>
            <w:pPr>
              <w:spacing w:line="400" w:lineRule="exact"/>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14</w:t>
            </w:r>
          </w:p>
        </w:tc>
        <w:tc>
          <w:tcPr>
            <w:tcW w:w="1228" w:type="dxa"/>
            <w:vMerge w:val="continue"/>
            <w:noWrap w:val="0"/>
            <w:vAlign w:val="top"/>
          </w:tcPr>
          <w:p>
            <w:pPr>
              <w:spacing w:line="400" w:lineRule="exact"/>
              <w:jc w:val="center"/>
              <w:rPr>
                <w:rFonts w:hint="eastAsia" w:ascii="宋体" w:hAnsi="宋体" w:eastAsia="宋体" w:cs="宋体"/>
                <w:sz w:val="24"/>
                <w:szCs w:val="24"/>
                <w:lang w:val="en-US" w:eastAsia="zh-CN"/>
              </w:rPr>
            </w:pPr>
          </w:p>
        </w:tc>
        <w:tc>
          <w:tcPr>
            <w:tcW w:w="2059"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初创企业知识产权应知应会及坪山区知识产权现状、政策解读</w:t>
            </w:r>
          </w:p>
        </w:tc>
        <w:tc>
          <w:tcPr>
            <w:tcW w:w="4445"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初创企业需注意的商业秘密泄露、知识产权恶意打击等知识产权风险及相应可以采取的措施。坪山区知识产权整体水平现状解读及政策宣贯。</w:t>
            </w:r>
          </w:p>
        </w:tc>
        <w:tc>
          <w:tcPr>
            <w:tcW w:w="3900"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相关部门知识产权工作人员、企业管理层、研发负责人、知识产权管理负责人等</w:t>
            </w:r>
          </w:p>
        </w:tc>
        <w:tc>
          <w:tcPr>
            <w:tcW w:w="914" w:type="dxa"/>
            <w:noWrap w:val="0"/>
            <w:vAlign w:val="top"/>
          </w:tcPr>
          <w:p>
            <w:pPr>
              <w:spacing w:line="400" w:lineRule="exact"/>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3期</w:t>
            </w:r>
          </w:p>
        </w:tc>
        <w:tc>
          <w:tcPr>
            <w:tcW w:w="879" w:type="dxa"/>
            <w:noWrap w:val="0"/>
            <w:vAlign w:val="top"/>
          </w:tcPr>
          <w:p>
            <w:pPr>
              <w:spacing w:line="400" w:lineRule="exact"/>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jc w:val="center"/>
        </w:trPr>
        <w:tc>
          <w:tcPr>
            <w:tcW w:w="702" w:type="dxa"/>
            <w:noWrap w:val="0"/>
            <w:vAlign w:val="top"/>
          </w:tcPr>
          <w:p>
            <w:pPr>
              <w:spacing w:line="400" w:lineRule="exact"/>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15</w:t>
            </w:r>
          </w:p>
        </w:tc>
        <w:tc>
          <w:tcPr>
            <w:tcW w:w="1228"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中级培训自主选题，共3项，每项不超过12万元</w:t>
            </w:r>
          </w:p>
        </w:tc>
        <w:tc>
          <w:tcPr>
            <w:tcW w:w="2059" w:type="dxa"/>
            <w:noWrap w:val="0"/>
            <w:vAlign w:val="top"/>
          </w:tcPr>
          <w:p>
            <w:pPr>
              <w:spacing w:line="400" w:lineRule="exact"/>
              <w:jc w:val="center"/>
              <w:rPr>
                <w:rFonts w:hint="eastAsia" w:ascii="宋体" w:hAnsi="宋体" w:eastAsia="宋体" w:cs="宋体"/>
                <w:sz w:val="24"/>
                <w:szCs w:val="24"/>
                <w:lang w:val="en-US" w:eastAsia="zh-CN"/>
              </w:rPr>
            </w:pPr>
          </w:p>
        </w:tc>
        <w:tc>
          <w:tcPr>
            <w:tcW w:w="4445" w:type="dxa"/>
            <w:noWrap w:val="0"/>
            <w:vAlign w:val="top"/>
          </w:tcPr>
          <w:p>
            <w:pPr>
              <w:spacing w:line="400" w:lineRule="exact"/>
              <w:jc w:val="center"/>
              <w:rPr>
                <w:rFonts w:hint="eastAsia" w:ascii="宋体" w:hAnsi="宋体" w:eastAsia="宋体" w:cs="宋体"/>
                <w:sz w:val="24"/>
                <w:szCs w:val="24"/>
                <w:lang w:val="en-US" w:eastAsia="zh-CN"/>
              </w:rPr>
            </w:pPr>
          </w:p>
        </w:tc>
        <w:tc>
          <w:tcPr>
            <w:tcW w:w="3900" w:type="dxa"/>
            <w:noWrap w:val="0"/>
            <w:vAlign w:val="top"/>
          </w:tcPr>
          <w:p>
            <w:pPr>
              <w:spacing w:line="400" w:lineRule="exact"/>
              <w:jc w:val="center"/>
              <w:rPr>
                <w:rFonts w:hint="eastAsia" w:ascii="宋体" w:hAnsi="宋体" w:eastAsia="宋体" w:cs="宋体"/>
                <w:sz w:val="24"/>
                <w:szCs w:val="24"/>
                <w:lang w:val="en-US" w:eastAsia="zh-CN"/>
              </w:rPr>
            </w:pPr>
          </w:p>
        </w:tc>
        <w:tc>
          <w:tcPr>
            <w:tcW w:w="914" w:type="dxa"/>
            <w:noWrap w:val="0"/>
            <w:vAlign w:val="top"/>
          </w:tcPr>
          <w:p>
            <w:pPr>
              <w:spacing w:line="400" w:lineRule="exact"/>
              <w:jc w:val="center"/>
              <w:rPr>
                <w:rFonts w:hint="eastAsia" w:ascii="宋体" w:hAnsi="宋体" w:eastAsia="宋体" w:cs="宋体"/>
                <w:sz w:val="24"/>
                <w:szCs w:val="24"/>
                <w:lang w:val="en-US" w:eastAsia="zh-CN"/>
              </w:rPr>
            </w:pPr>
          </w:p>
        </w:tc>
        <w:tc>
          <w:tcPr>
            <w:tcW w:w="879" w:type="dxa"/>
            <w:noWrap w:val="0"/>
            <w:vAlign w:val="top"/>
          </w:tcPr>
          <w:p>
            <w:pPr>
              <w:spacing w:line="400" w:lineRule="exact"/>
              <w:jc w:val="center"/>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jc w:val="center"/>
        </w:trPr>
        <w:tc>
          <w:tcPr>
            <w:tcW w:w="702" w:type="dxa"/>
            <w:noWrap w:val="0"/>
            <w:vAlign w:val="top"/>
          </w:tcPr>
          <w:p>
            <w:pPr>
              <w:spacing w:line="400" w:lineRule="exact"/>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16</w:t>
            </w:r>
          </w:p>
        </w:tc>
        <w:tc>
          <w:tcPr>
            <w:tcW w:w="1228" w:type="dxa"/>
            <w:vMerge w:val="restart"/>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知识产权高级培训</w:t>
            </w:r>
          </w:p>
        </w:tc>
        <w:tc>
          <w:tcPr>
            <w:tcW w:w="2059"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知识产权贯标及管理提升培训</w:t>
            </w:r>
          </w:p>
        </w:tc>
        <w:tc>
          <w:tcPr>
            <w:tcW w:w="4445"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1.知识产权贯标；2.企业研发与知识产权管理讲解；3.打造企业核心ip。</w:t>
            </w:r>
          </w:p>
        </w:tc>
        <w:tc>
          <w:tcPr>
            <w:tcW w:w="3900"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相关部门知识产权工作人员、企业管理层、研发负责人、知识产权管理负责人等</w:t>
            </w:r>
          </w:p>
        </w:tc>
        <w:tc>
          <w:tcPr>
            <w:tcW w:w="914" w:type="dxa"/>
            <w:noWrap w:val="0"/>
            <w:vAlign w:val="top"/>
          </w:tcPr>
          <w:p>
            <w:pPr>
              <w:spacing w:line="400" w:lineRule="exact"/>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3期以上</w:t>
            </w:r>
          </w:p>
        </w:tc>
        <w:tc>
          <w:tcPr>
            <w:tcW w:w="879" w:type="dxa"/>
            <w:noWrap w:val="0"/>
            <w:vAlign w:val="top"/>
          </w:tcPr>
          <w:p>
            <w:pPr>
              <w:spacing w:line="400" w:lineRule="exact"/>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jc w:val="center"/>
        </w:trPr>
        <w:tc>
          <w:tcPr>
            <w:tcW w:w="702" w:type="dxa"/>
            <w:noWrap w:val="0"/>
            <w:vAlign w:val="top"/>
          </w:tcPr>
          <w:p>
            <w:pPr>
              <w:spacing w:line="400" w:lineRule="exact"/>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17</w:t>
            </w:r>
          </w:p>
        </w:tc>
        <w:tc>
          <w:tcPr>
            <w:tcW w:w="1228" w:type="dxa"/>
            <w:vMerge w:val="continue"/>
            <w:noWrap w:val="0"/>
            <w:vAlign w:val="top"/>
          </w:tcPr>
          <w:p>
            <w:pPr>
              <w:spacing w:line="400" w:lineRule="exact"/>
              <w:jc w:val="center"/>
              <w:rPr>
                <w:rFonts w:hint="eastAsia" w:ascii="宋体" w:hAnsi="宋体" w:eastAsia="宋体" w:cs="宋体"/>
                <w:sz w:val="24"/>
                <w:szCs w:val="24"/>
                <w:lang w:val="en-US" w:eastAsia="zh-CN"/>
              </w:rPr>
            </w:pPr>
          </w:p>
        </w:tc>
        <w:tc>
          <w:tcPr>
            <w:tcW w:w="2059"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研发总裁专利素养高级培训</w:t>
            </w:r>
          </w:p>
        </w:tc>
        <w:tc>
          <w:tcPr>
            <w:tcW w:w="4445"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介绍专利信息分析对研发效率及效益提提升的重要性，分享专利信息分析利用的工具及开展推动专利信息分析利用的经验。解析研发活动中的风险类别及影响，提供规避及控管研发风险的方法</w:t>
            </w:r>
          </w:p>
        </w:tc>
        <w:tc>
          <w:tcPr>
            <w:tcW w:w="3900"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企业知识产权管理人员</w:t>
            </w:r>
          </w:p>
        </w:tc>
        <w:tc>
          <w:tcPr>
            <w:tcW w:w="914" w:type="dxa"/>
            <w:noWrap w:val="0"/>
            <w:vAlign w:val="top"/>
          </w:tcPr>
          <w:p>
            <w:pPr>
              <w:spacing w:line="400" w:lineRule="exact"/>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3期以上</w:t>
            </w:r>
          </w:p>
        </w:tc>
        <w:tc>
          <w:tcPr>
            <w:tcW w:w="879" w:type="dxa"/>
            <w:noWrap w:val="0"/>
            <w:vAlign w:val="top"/>
          </w:tcPr>
          <w:p>
            <w:pPr>
              <w:spacing w:line="400" w:lineRule="exact"/>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jc w:val="center"/>
        </w:trPr>
        <w:tc>
          <w:tcPr>
            <w:tcW w:w="702" w:type="dxa"/>
            <w:noWrap w:val="0"/>
            <w:vAlign w:val="top"/>
          </w:tcPr>
          <w:p>
            <w:pPr>
              <w:spacing w:line="400" w:lineRule="exact"/>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18</w:t>
            </w:r>
          </w:p>
        </w:tc>
        <w:tc>
          <w:tcPr>
            <w:tcW w:w="1228" w:type="dxa"/>
            <w:vMerge w:val="continue"/>
            <w:noWrap w:val="0"/>
            <w:vAlign w:val="top"/>
          </w:tcPr>
          <w:p>
            <w:pPr>
              <w:spacing w:line="400" w:lineRule="exact"/>
              <w:jc w:val="center"/>
              <w:rPr>
                <w:rFonts w:hint="eastAsia" w:ascii="宋体" w:hAnsi="宋体" w:eastAsia="宋体" w:cs="宋体"/>
                <w:sz w:val="24"/>
                <w:szCs w:val="24"/>
                <w:lang w:val="en-US" w:eastAsia="zh-CN"/>
              </w:rPr>
            </w:pPr>
          </w:p>
        </w:tc>
        <w:tc>
          <w:tcPr>
            <w:tcW w:w="2059"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《美国301、337调查专题培训》系列培训</w:t>
            </w:r>
          </w:p>
        </w:tc>
        <w:tc>
          <w:tcPr>
            <w:tcW w:w="4445"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讲解美国301、337调查的程序问题、法律问题、如何撰写美国诉讼中的法律文书、证据开示问题、如何口头答辩</w:t>
            </w:r>
          </w:p>
        </w:tc>
        <w:tc>
          <w:tcPr>
            <w:tcW w:w="3900"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全市范围内的企事业单位知识产权管理人员、知识产权服务机构管理人员和公司法务等相关人员</w:t>
            </w:r>
          </w:p>
        </w:tc>
        <w:tc>
          <w:tcPr>
            <w:tcW w:w="914" w:type="dxa"/>
            <w:noWrap w:val="0"/>
            <w:vAlign w:val="top"/>
          </w:tcPr>
          <w:p>
            <w:pPr>
              <w:spacing w:line="400" w:lineRule="exact"/>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3期以上</w:t>
            </w:r>
          </w:p>
        </w:tc>
        <w:tc>
          <w:tcPr>
            <w:tcW w:w="879" w:type="dxa"/>
            <w:noWrap w:val="0"/>
            <w:vAlign w:val="top"/>
          </w:tcPr>
          <w:p>
            <w:pPr>
              <w:spacing w:line="400" w:lineRule="exact"/>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jc w:val="center"/>
        </w:trPr>
        <w:tc>
          <w:tcPr>
            <w:tcW w:w="702" w:type="dxa"/>
            <w:noWrap w:val="0"/>
            <w:vAlign w:val="top"/>
          </w:tcPr>
          <w:p>
            <w:pPr>
              <w:spacing w:line="400" w:lineRule="exact"/>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19</w:t>
            </w:r>
          </w:p>
        </w:tc>
        <w:tc>
          <w:tcPr>
            <w:tcW w:w="1228" w:type="dxa"/>
            <w:vMerge w:val="continue"/>
            <w:noWrap w:val="0"/>
            <w:vAlign w:val="top"/>
          </w:tcPr>
          <w:p>
            <w:pPr>
              <w:spacing w:line="400" w:lineRule="exact"/>
              <w:jc w:val="center"/>
              <w:rPr>
                <w:rFonts w:hint="eastAsia" w:ascii="宋体" w:hAnsi="宋体" w:eastAsia="宋体" w:cs="宋体"/>
                <w:sz w:val="24"/>
                <w:szCs w:val="24"/>
                <w:lang w:val="en-US" w:eastAsia="zh-CN"/>
              </w:rPr>
            </w:pPr>
          </w:p>
        </w:tc>
        <w:tc>
          <w:tcPr>
            <w:tcW w:w="2059"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国内外知识产权纠纷解决与海外维权培训</w:t>
            </w:r>
          </w:p>
        </w:tc>
        <w:tc>
          <w:tcPr>
            <w:tcW w:w="4445"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培训讲解创新主体选择知识产权纠纷调解、仲裁等多种手段化解知识产权纠纷的相关内容；培训讲解企业应对海外知识产权纠纷机制、保护指引及相关案例等。</w:t>
            </w:r>
          </w:p>
        </w:tc>
        <w:tc>
          <w:tcPr>
            <w:tcW w:w="3900"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企业、知识产权服务机构等，以及市知识产权联席会议成员单位相关知识产权保护部门人员</w:t>
            </w:r>
          </w:p>
        </w:tc>
        <w:tc>
          <w:tcPr>
            <w:tcW w:w="914" w:type="dxa"/>
            <w:noWrap w:val="0"/>
            <w:vAlign w:val="top"/>
          </w:tcPr>
          <w:p>
            <w:pPr>
              <w:spacing w:line="400" w:lineRule="exact"/>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3期以上</w:t>
            </w:r>
          </w:p>
        </w:tc>
        <w:tc>
          <w:tcPr>
            <w:tcW w:w="879" w:type="dxa"/>
            <w:noWrap w:val="0"/>
            <w:vAlign w:val="top"/>
          </w:tcPr>
          <w:p>
            <w:pPr>
              <w:spacing w:line="400" w:lineRule="exact"/>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jc w:val="center"/>
        </w:trPr>
        <w:tc>
          <w:tcPr>
            <w:tcW w:w="702" w:type="dxa"/>
            <w:noWrap w:val="0"/>
            <w:vAlign w:val="top"/>
          </w:tcPr>
          <w:p>
            <w:pPr>
              <w:spacing w:line="400" w:lineRule="exact"/>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20</w:t>
            </w:r>
          </w:p>
        </w:tc>
        <w:tc>
          <w:tcPr>
            <w:tcW w:w="1228" w:type="dxa"/>
            <w:vMerge w:val="continue"/>
            <w:noWrap w:val="0"/>
            <w:vAlign w:val="top"/>
          </w:tcPr>
          <w:p>
            <w:pPr>
              <w:spacing w:line="400" w:lineRule="exact"/>
              <w:jc w:val="center"/>
              <w:rPr>
                <w:rFonts w:hint="eastAsia" w:ascii="宋体" w:hAnsi="宋体" w:eastAsia="宋体" w:cs="宋体"/>
                <w:sz w:val="24"/>
                <w:szCs w:val="24"/>
                <w:lang w:val="en-US" w:eastAsia="zh-CN"/>
              </w:rPr>
            </w:pPr>
          </w:p>
        </w:tc>
        <w:tc>
          <w:tcPr>
            <w:tcW w:w="2059"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企业知识产权质押融资、保险、证券等金融知识分析讲解</w:t>
            </w:r>
          </w:p>
        </w:tc>
        <w:tc>
          <w:tcPr>
            <w:tcW w:w="4445"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对我市知识产权质押融资、保险、证券等金融政策及相关知识进行指导及解读。</w:t>
            </w:r>
          </w:p>
        </w:tc>
        <w:tc>
          <w:tcPr>
            <w:tcW w:w="3900"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相关部门知识产权工作人员、企业管理层、研发负责人、知识产权管理负责人等</w:t>
            </w:r>
          </w:p>
        </w:tc>
        <w:tc>
          <w:tcPr>
            <w:tcW w:w="914"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3期以上</w:t>
            </w:r>
          </w:p>
        </w:tc>
        <w:tc>
          <w:tcPr>
            <w:tcW w:w="879" w:type="dxa"/>
            <w:noWrap w:val="0"/>
            <w:vAlign w:val="top"/>
          </w:tcPr>
          <w:p>
            <w:pPr>
              <w:spacing w:line="400" w:lineRule="exact"/>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jc w:val="center"/>
        </w:trPr>
        <w:tc>
          <w:tcPr>
            <w:tcW w:w="702" w:type="dxa"/>
            <w:noWrap w:val="0"/>
            <w:vAlign w:val="top"/>
          </w:tcPr>
          <w:p>
            <w:pPr>
              <w:spacing w:line="400" w:lineRule="exact"/>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21</w:t>
            </w:r>
          </w:p>
        </w:tc>
        <w:tc>
          <w:tcPr>
            <w:tcW w:w="1228" w:type="dxa"/>
            <w:vMerge w:val="continue"/>
            <w:noWrap w:val="0"/>
            <w:vAlign w:val="top"/>
          </w:tcPr>
          <w:p>
            <w:pPr>
              <w:spacing w:line="400" w:lineRule="exact"/>
              <w:jc w:val="center"/>
              <w:rPr>
                <w:rFonts w:hint="eastAsia" w:ascii="宋体" w:hAnsi="宋体" w:eastAsia="宋体" w:cs="宋体"/>
                <w:sz w:val="24"/>
                <w:szCs w:val="24"/>
                <w:lang w:val="en-US" w:eastAsia="zh-CN"/>
              </w:rPr>
            </w:pPr>
          </w:p>
        </w:tc>
        <w:tc>
          <w:tcPr>
            <w:tcW w:w="2059"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国际马德里商标申请及海外商标布局</w:t>
            </w:r>
          </w:p>
        </w:tc>
        <w:tc>
          <w:tcPr>
            <w:tcW w:w="4445"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国际马德里商标申请培训；海外商标的培育及布局</w:t>
            </w:r>
          </w:p>
        </w:tc>
        <w:tc>
          <w:tcPr>
            <w:tcW w:w="3900"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相关部门知识产权工作人员、企业管理层、研发负责人、知识产权管理负责人等</w:t>
            </w:r>
          </w:p>
        </w:tc>
        <w:tc>
          <w:tcPr>
            <w:tcW w:w="914"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3期以上</w:t>
            </w:r>
          </w:p>
        </w:tc>
        <w:tc>
          <w:tcPr>
            <w:tcW w:w="879" w:type="dxa"/>
            <w:noWrap w:val="0"/>
            <w:vAlign w:val="top"/>
          </w:tcPr>
          <w:p>
            <w:pPr>
              <w:spacing w:line="400" w:lineRule="exact"/>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jc w:val="center"/>
        </w:trPr>
        <w:tc>
          <w:tcPr>
            <w:tcW w:w="702" w:type="dxa"/>
            <w:noWrap w:val="0"/>
            <w:vAlign w:val="top"/>
          </w:tcPr>
          <w:p>
            <w:pPr>
              <w:spacing w:line="400" w:lineRule="exact"/>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22</w:t>
            </w:r>
          </w:p>
        </w:tc>
        <w:tc>
          <w:tcPr>
            <w:tcW w:w="1228" w:type="dxa"/>
            <w:vMerge w:val="continue"/>
            <w:noWrap w:val="0"/>
            <w:vAlign w:val="top"/>
          </w:tcPr>
          <w:p>
            <w:pPr>
              <w:spacing w:line="400" w:lineRule="exact"/>
              <w:jc w:val="center"/>
              <w:rPr>
                <w:rFonts w:hint="eastAsia" w:ascii="宋体" w:hAnsi="宋体" w:eastAsia="宋体" w:cs="宋体"/>
                <w:sz w:val="24"/>
                <w:szCs w:val="24"/>
                <w:lang w:val="en-US" w:eastAsia="zh-CN"/>
              </w:rPr>
            </w:pPr>
          </w:p>
        </w:tc>
        <w:tc>
          <w:tcPr>
            <w:tcW w:w="2059"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知识产权成果转移转化培训</w:t>
            </w:r>
          </w:p>
        </w:tc>
        <w:tc>
          <w:tcPr>
            <w:tcW w:w="4445"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技术转移概况1、技术转移的定义、内涵；2、技术转移与创新的关系；3、技术转移模式；国内外技术转移现状、国内技术转移时代背景；、国内外技术转移情况和问题；国内技术转移展望等</w:t>
            </w:r>
          </w:p>
        </w:tc>
        <w:tc>
          <w:tcPr>
            <w:tcW w:w="3900"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相关部门知识产权工作人员、企业管理层、研发负责人、知识产权管理负责人等</w:t>
            </w:r>
          </w:p>
        </w:tc>
        <w:tc>
          <w:tcPr>
            <w:tcW w:w="914"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3期以上</w:t>
            </w:r>
          </w:p>
        </w:tc>
        <w:tc>
          <w:tcPr>
            <w:tcW w:w="879" w:type="dxa"/>
            <w:noWrap w:val="0"/>
            <w:vAlign w:val="top"/>
          </w:tcPr>
          <w:p>
            <w:pPr>
              <w:spacing w:line="400" w:lineRule="exact"/>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jc w:val="center"/>
        </w:trPr>
        <w:tc>
          <w:tcPr>
            <w:tcW w:w="702" w:type="dxa"/>
            <w:noWrap w:val="0"/>
            <w:vAlign w:val="top"/>
          </w:tcPr>
          <w:p>
            <w:pPr>
              <w:spacing w:line="400" w:lineRule="exact"/>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23</w:t>
            </w:r>
          </w:p>
        </w:tc>
        <w:tc>
          <w:tcPr>
            <w:tcW w:w="1228" w:type="dxa"/>
            <w:vMerge w:val="continue"/>
            <w:noWrap w:val="0"/>
            <w:vAlign w:val="top"/>
          </w:tcPr>
          <w:p>
            <w:pPr>
              <w:spacing w:line="400" w:lineRule="exact"/>
              <w:jc w:val="center"/>
              <w:rPr>
                <w:rFonts w:hint="eastAsia" w:ascii="宋体" w:hAnsi="宋体" w:eastAsia="宋体" w:cs="宋体"/>
                <w:sz w:val="24"/>
                <w:szCs w:val="24"/>
                <w:lang w:val="en-US" w:eastAsia="zh-CN"/>
              </w:rPr>
            </w:pPr>
          </w:p>
        </w:tc>
        <w:tc>
          <w:tcPr>
            <w:tcW w:w="2059"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cs="宋体"/>
                <w:sz w:val="24"/>
              </w:rPr>
              <w:t>2021年前海自贸区知识产权</w:t>
            </w:r>
            <w:r>
              <w:rPr>
                <w:rFonts w:hint="eastAsia" w:ascii="宋体" w:hAnsi="宋体" w:cs="宋体"/>
                <w:color w:val="auto"/>
                <w:sz w:val="24"/>
              </w:rPr>
              <w:t>综合业务</w:t>
            </w:r>
            <w:r>
              <w:rPr>
                <w:rFonts w:hint="eastAsia" w:ascii="宋体" w:hAnsi="宋体" w:cs="宋体"/>
                <w:sz w:val="24"/>
              </w:rPr>
              <w:t>培训</w:t>
            </w:r>
          </w:p>
        </w:tc>
        <w:tc>
          <w:tcPr>
            <w:tcW w:w="4445"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color w:val="auto"/>
                <w:sz w:val="24"/>
                <w:szCs w:val="24"/>
                <w:lang w:val="en-US" w:eastAsia="zh-CN"/>
              </w:rPr>
              <w:t>1.习近平总书记关于全面加强知识产权保护工作的重要讲话精神解读；2</w:t>
            </w:r>
            <w:r>
              <w:rPr>
                <w:rFonts w:hint="eastAsia" w:ascii="宋体" w:hAnsi="宋体" w:cs="宋体"/>
                <w:color w:val="auto"/>
                <w:sz w:val="24"/>
              </w:rPr>
              <w:t>.海外知识产权诉讼应对策略；</w:t>
            </w:r>
            <w:r>
              <w:rPr>
                <w:rFonts w:hint="eastAsia" w:ascii="宋体" w:hAnsi="宋体" w:cs="宋体"/>
                <w:color w:val="auto"/>
                <w:sz w:val="24"/>
                <w:lang w:val="en-US" w:eastAsia="zh-CN"/>
              </w:rPr>
              <w:t>3</w:t>
            </w:r>
            <w:r>
              <w:rPr>
                <w:rFonts w:hint="eastAsia" w:ascii="宋体" w:hAnsi="宋体" w:cs="宋体"/>
                <w:color w:val="auto"/>
                <w:sz w:val="24"/>
              </w:rPr>
              <w:t>、港澳知识产权保护实务；</w:t>
            </w:r>
            <w:r>
              <w:rPr>
                <w:rFonts w:hint="eastAsia" w:ascii="宋体" w:hAnsi="宋体" w:cs="宋体"/>
                <w:color w:val="auto"/>
                <w:sz w:val="24"/>
                <w:lang w:val="en-US" w:eastAsia="zh-CN"/>
              </w:rPr>
              <w:t>4</w:t>
            </w:r>
            <w:r>
              <w:rPr>
                <w:rFonts w:hint="eastAsia" w:ascii="宋体" w:hAnsi="宋体" w:cs="宋体"/>
                <w:color w:val="auto"/>
                <w:sz w:val="24"/>
              </w:rPr>
              <w:t>、</w:t>
            </w:r>
            <w:r>
              <w:rPr>
                <w:rFonts w:hint="eastAsia" w:ascii="宋体" w:hAnsi="宋体" w:cs="宋体"/>
                <w:color w:val="auto"/>
                <w:sz w:val="24"/>
                <w:lang w:eastAsia="zh-CN"/>
              </w:rPr>
              <w:t>海外知识产权布局实务</w:t>
            </w:r>
            <w:r>
              <w:rPr>
                <w:rFonts w:hint="eastAsia" w:ascii="宋体" w:hAnsi="宋体" w:cs="宋体"/>
                <w:color w:val="auto"/>
                <w:sz w:val="24"/>
              </w:rPr>
              <w:t>培训</w:t>
            </w:r>
            <w:r>
              <w:rPr>
                <w:rFonts w:hint="eastAsia" w:ascii="宋体" w:hAnsi="宋体" w:cs="宋体"/>
                <w:color w:val="auto"/>
                <w:sz w:val="24"/>
                <w:lang w:eastAsia="zh-CN"/>
              </w:rPr>
              <w:t>；</w:t>
            </w:r>
            <w:r>
              <w:rPr>
                <w:rFonts w:hint="eastAsia" w:ascii="宋体" w:hAnsi="宋体" w:cs="宋体"/>
                <w:color w:val="auto"/>
                <w:sz w:val="24"/>
                <w:lang w:val="en-US" w:eastAsia="zh-CN"/>
              </w:rPr>
              <w:t>5.商业秘密保护的国际化案例讲解。</w:t>
            </w:r>
          </w:p>
        </w:tc>
        <w:tc>
          <w:tcPr>
            <w:tcW w:w="3900"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cs="宋体"/>
                <w:sz w:val="24"/>
              </w:rPr>
              <w:t>相关部门知识产权工作人员、企业管理层、研发负责人、知识产权管理负责人等</w:t>
            </w:r>
          </w:p>
        </w:tc>
        <w:tc>
          <w:tcPr>
            <w:tcW w:w="914"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3期以上</w:t>
            </w:r>
          </w:p>
        </w:tc>
        <w:tc>
          <w:tcPr>
            <w:tcW w:w="879" w:type="dxa"/>
            <w:noWrap w:val="0"/>
            <w:vAlign w:val="top"/>
          </w:tcPr>
          <w:p>
            <w:pPr>
              <w:spacing w:line="400" w:lineRule="exact"/>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jc w:val="center"/>
        </w:trPr>
        <w:tc>
          <w:tcPr>
            <w:tcW w:w="702" w:type="dxa"/>
            <w:noWrap w:val="0"/>
            <w:vAlign w:val="top"/>
          </w:tcPr>
          <w:p>
            <w:pPr>
              <w:spacing w:line="400" w:lineRule="exact"/>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24</w:t>
            </w:r>
          </w:p>
        </w:tc>
        <w:tc>
          <w:tcPr>
            <w:tcW w:w="1228" w:type="dxa"/>
            <w:vMerge w:val="continue"/>
            <w:noWrap w:val="0"/>
            <w:vAlign w:val="top"/>
          </w:tcPr>
          <w:p>
            <w:pPr>
              <w:spacing w:line="400" w:lineRule="exact"/>
              <w:jc w:val="center"/>
              <w:rPr>
                <w:rFonts w:hint="eastAsia" w:ascii="宋体" w:hAnsi="宋体" w:eastAsia="宋体" w:cs="宋体"/>
                <w:sz w:val="24"/>
                <w:szCs w:val="24"/>
                <w:lang w:val="en-US" w:eastAsia="zh-CN"/>
              </w:rPr>
            </w:pPr>
          </w:p>
        </w:tc>
        <w:tc>
          <w:tcPr>
            <w:tcW w:w="2059"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青少年企业知识产权创造、运用宣讲演示课</w:t>
            </w:r>
          </w:p>
        </w:tc>
        <w:tc>
          <w:tcPr>
            <w:tcW w:w="4445"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在典型企业中组织知识产权创造与运用宣讲示范课程，组织中小学生进企业参加知识产权培训，提升其知识产权创造与运用能力</w:t>
            </w:r>
          </w:p>
        </w:tc>
        <w:tc>
          <w:tcPr>
            <w:tcW w:w="3900"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中小学生</w:t>
            </w:r>
          </w:p>
        </w:tc>
        <w:tc>
          <w:tcPr>
            <w:tcW w:w="914" w:type="dxa"/>
            <w:noWrap w:val="0"/>
            <w:vAlign w:val="top"/>
          </w:tcPr>
          <w:p>
            <w:pPr>
              <w:spacing w:line="4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3期以上</w:t>
            </w:r>
          </w:p>
        </w:tc>
        <w:tc>
          <w:tcPr>
            <w:tcW w:w="879" w:type="dxa"/>
            <w:noWrap w:val="0"/>
            <w:vAlign w:val="top"/>
          </w:tcPr>
          <w:p>
            <w:pPr>
              <w:spacing w:line="400" w:lineRule="exact"/>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jc w:val="center"/>
        </w:trPr>
        <w:tc>
          <w:tcPr>
            <w:tcW w:w="702" w:type="dxa"/>
            <w:noWrap w:val="0"/>
            <w:vAlign w:val="top"/>
          </w:tcPr>
          <w:p>
            <w:pPr>
              <w:spacing w:line="400" w:lineRule="exact"/>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25</w:t>
            </w:r>
          </w:p>
        </w:tc>
        <w:tc>
          <w:tcPr>
            <w:tcW w:w="1228"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高级培训自主选题，共4项，每项不超过20万元</w:t>
            </w:r>
          </w:p>
        </w:tc>
        <w:tc>
          <w:tcPr>
            <w:tcW w:w="2059" w:type="dxa"/>
            <w:noWrap w:val="0"/>
            <w:vAlign w:val="top"/>
          </w:tcPr>
          <w:p>
            <w:pPr>
              <w:spacing w:line="400" w:lineRule="exact"/>
              <w:jc w:val="center"/>
              <w:rPr>
                <w:rFonts w:hint="eastAsia" w:ascii="宋体" w:hAnsi="宋体" w:eastAsia="宋体" w:cs="宋体"/>
                <w:sz w:val="24"/>
                <w:szCs w:val="24"/>
                <w:lang w:val="en-US" w:eastAsia="zh-CN"/>
              </w:rPr>
            </w:pPr>
          </w:p>
        </w:tc>
        <w:tc>
          <w:tcPr>
            <w:tcW w:w="4445" w:type="dxa"/>
            <w:noWrap w:val="0"/>
            <w:vAlign w:val="top"/>
          </w:tcPr>
          <w:p>
            <w:pPr>
              <w:spacing w:line="400" w:lineRule="exact"/>
              <w:jc w:val="center"/>
              <w:rPr>
                <w:rFonts w:hint="eastAsia" w:ascii="宋体" w:hAnsi="宋体" w:eastAsia="宋体" w:cs="宋体"/>
                <w:sz w:val="24"/>
                <w:szCs w:val="24"/>
                <w:lang w:val="en-US" w:eastAsia="zh-CN"/>
              </w:rPr>
            </w:pPr>
          </w:p>
        </w:tc>
        <w:tc>
          <w:tcPr>
            <w:tcW w:w="3900" w:type="dxa"/>
            <w:noWrap w:val="0"/>
            <w:vAlign w:val="top"/>
          </w:tcPr>
          <w:p>
            <w:pPr>
              <w:spacing w:line="400" w:lineRule="exact"/>
              <w:jc w:val="center"/>
              <w:rPr>
                <w:rFonts w:hint="eastAsia" w:ascii="宋体" w:hAnsi="宋体" w:eastAsia="宋体" w:cs="宋体"/>
                <w:sz w:val="24"/>
                <w:szCs w:val="24"/>
                <w:lang w:val="en-US" w:eastAsia="zh-CN"/>
              </w:rPr>
            </w:pPr>
          </w:p>
        </w:tc>
        <w:tc>
          <w:tcPr>
            <w:tcW w:w="914" w:type="dxa"/>
            <w:noWrap w:val="0"/>
            <w:vAlign w:val="top"/>
          </w:tcPr>
          <w:p>
            <w:pPr>
              <w:spacing w:line="400" w:lineRule="exact"/>
              <w:jc w:val="center"/>
              <w:rPr>
                <w:rFonts w:hint="eastAsia" w:ascii="宋体" w:hAnsi="宋体" w:eastAsia="宋体" w:cs="宋体"/>
                <w:sz w:val="24"/>
                <w:szCs w:val="24"/>
                <w:lang w:val="en-US" w:eastAsia="zh-CN"/>
              </w:rPr>
            </w:pPr>
          </w:p>
        </w:tc>
        <w:tc>
          <w:tcPr>
            <w:tcW w:w="879" w:type="dxa"/>
            <w:noWrap w:val="0"/>
            <w:vAlign w:val="top"/>
          </w:tcPr>
          <w:p>
            <w:pPr>
              <w:spacing w:line="400" w:lineRule="exact"/>
              <w:jc w:val="center"/>
              <w:rPr>
                <w:rFonts w:hint="eastAsia" w:ascii="宋体" w:hAnsi="宋体" w:eastAsia="宋体" w:cs="宋体"/>
                <w:sz w:val="24"/>
                <w:szCs w:val="24"/>
                <w:lang w:val="en-US" w:eastAsia="zh-CN"/>
              </w:rPr>
            </w:pP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注：</w:t>
      </w: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lang w:eastAsia="zh-CN"/>
        </w:rPr>
        <w:t>申请人申报2021年知识产权培训课程资助项目时，提交的课程设计方案应包括但不限于本表格所述的“主要内容”；</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eastAsia="仿宋_GB2312"/>
          <w:sz w:val="32"/>
          <w:szCs w:val="32"/>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lang w:eastAsia="zh-CN"/>
        </w:rPr>
        <w:t>为促进我市各区知识产权事业均衡发展，为知识产权工作基础相对薄弱地区提供优质公共服务，部分培训项目或需在相对偏远区域开展。</w:t>
      </w:r>
    </w:p>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10" w:usb3="00000000" w:csb0="0004009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D77346"/>
    <w:rsid w:val="01A552D1"/>
    <w:rsid w:val="024964B5"/>
    <w:rsid w:val="0290738E"/>
    <w:rsid w:val="036061DC"/>
    <w:rsid w:val="050A4B3C"/>
    <w:rsid w:val="05850763"/>
    <w:rsid w:val="05FF25D6"/>
    <w:rsid w:val="084B29D2"/>
    <w:rsid w:val="098C366F"/>
    <w:rsid w:val="09C9488F"/>
    <w:rsid w:val="0B20165B"/>
    <w:rsid w:val="0F24067D"/>
    <w:rsid w:val="0F2D3F79"/>
    <w:rsid w:val="0FE21B4A"/>
    <w:rsid w:val="107E3D5D"/>
    <w:rsid w:val="10C72EEB"/>
    <w:rsid w:val="19E11BE1"/>
    <w:rsid w:val="1B6D3E6B"/>
    <w:rsid w:val="1C1458C1"/>
    <w:rsid w:val="1D491305"/>
    <w:rsid w:val="1DE92511"/>
    <w:rsid w:val="1E98157D"/>
    <w:rsid w:val="1F5A486E"/>
    <w:rsid w:val="20636B01"/>
    <w:rsid w:val="2159042C"/>
    <w:rsid w:val="22533170"/>
    <w:rsid w:val="229B7270"/>
    <w:rsid w:val="23536242"/>
    <w:rsid w:val="236000F4"/>
    <w:rsid w:val="24047B03"/>
    <w:rsid w:val="24F926B1"/>
    <w:rsid w:val="27F76755"/>
    <w:rsid w:val="286A7092"/>
    <w:rsid w:val="28F70065"/>
    <w:rsid w:val="2E2F35D1"/>
    <w:rsid w:val="2E6D7FAA"/>
    <w:rsid w:val="303F4A0D"/>
    <w:rsid w:val="3055413A"/>
    <w:rsid w:val="31BE3EB7"/>
    <w:rsid w:val="32E72A3E"/>
    <w:rsid w:val="33D15481"/>
    <w:rsid w:val="343E78CB"/>
    <w:rsid w:val="34DC1C1B"/>
    <w:rsid w:val="39D77346"/>
    <w:rsid w:val="3AB92946"/>
    <w:rsid w:val="3C883333"/>
    <w:rsid w:val="3D294193"/>
    <w:rsid w:val="3F5F6F6B"/>
    <w:rsid w:val="3F85356D"/>
    <w:rsid w:val="425D797C"/>
    <w:rsid w:val="49E00339"/>
    <w:rsid w:val="4A674AD8"/>
    <w:rsid w:val="4B2B7425"/>
    <w:rsid w:val="4C7D67A4"/>
    <w:rsid w:val="4D501A34"/>
    <w:rsid w:val="4DC47EBE"/>
    <w:rsid w:val="50774E3B"/>
    <w:rsid w:val="514A09C6"/>
    <w:rsid w:val="536509B2"/>
    <w:rsid w:val="53721FBE"/>
    <w:rsid w:val="567C0F90"/>
    <w:rsid w:val="57B04FF0"/>
    <w:rsid w:val="58C94050"/>
    <w:rsid w:val="5A4C4226"/>
    <w:rsid w:val="5B2967BF"/>
    <w:rsid w:val="5C240D8E"/>
    <w:rsid w:val="5D0E4D6D"/>
    <w:rsid w:val="5D185F8E"/>
    <w:rsid w:val="5D66554F"/>
    <w:rsid w:val="5E462842"/>
    <w:rsid w:val="5EDD34E1"/>
    <w:rsid w:val="5FD269D5"/>
    <w:rsid w:val="64BE1C42"/>
    <w:rsid w:val="67790A6C"/>
    <w:rsid w:val="687D3554"/>
    <w:rsid w:val="68873A31"/>
    <w:rsid w:val="689C3E3D"/>
    <w:rsid w:val="6B72445C"/>
    <w:rsid w:val="6C14502E"/>
    <w:rsid w:val="6DE631C7"/>
    <w:rsid w:val="6E7456A9"/>
    <w:rsid w:val="70DB09F6"/>
    <w:rsid w:val="72CC604E"/>
    <w:rsid w:val="72EB2F83"/>
    <w:rsid w:val="743F7A82"/>
    <w:rsid w:val="74A1281A"/>
    <w:rsid w:val="7521254A"/>
    <w:rsid w:val="75FD07DF"/>
    <w:rsid w:val="763B66CA"/>
    <w:rsid w:val="76666E55"/>
    <w:rsid w:val="7756145B"/>
    <w:rsid w:val="7CBC32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widowControl/>
      <w:spacing w:before="100" w:beforeAutospacing="1" w:after="100" w:afterAutospacing="1"/>
      <w:jc w:val="left"/>
      <w:outlineLvl w:val="2"/>
    </w:pPr>
    <w:rPr>
      <w:rFonts w:hint="eastAsia" w:ascii="宋体" w:hAnsi="宋体"/>
      <w:b/>
      <w:sz w:val="27"/>
      <w:szCs w:val="20"/>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6">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2021-03-05T09:03:00Z</dcterms:created>
  <dc:creator>刘妍彤</dc:creator>
  <cp:lastModifiedBy>彰</cp:lastModifiedBy>
  <dcterms:modified xsi:type="dcterms:W3CDTF">2021-04-22T03:26:08Z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