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11" w:rsidRDefault="001A5F11" w:rsidP="003113F9">
      <w:pPr>
        <w:spacing w:afterLines="100" w:line="520" w:lineRule="exact"/>
        <w:jc w:val="center"/>
        <w:rPr>
          <w:rFonts w:ascii="华文中宋" w:eastAsia="华文中宋" w:hAnsi="华文中宋" w:hint="eastAsia"/>
          <w:sz w:val="36"/>
          <w:szCs w:val="36"/>
        </w:rPr>
      </w:pPr>
      <w:r w:rsidRPr="00EB03B3">
        <w:rPr>
          <w:rFonts w:ascii="华文中宋" w:eastAsia="华文中宋" w:hAnsi="华文中宋"/>
          <w:sz w:val="36"/>
          <w:szCs w:val="36"/>
        </w:rPr>
        <w:t>中央厨房、集体用餐配送单位</w:t>
      </w:r>
    </w:p>
    <w:p w:rsidR="003F5C45" w:rsidRDefault="00DA22BA" w:rsidP="003113F9">
      <w:pPr>
        <w:spacing w:afterLines="100" w:line="52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集中</w:t>
      </w:r>
      <w:r w:rsidR="00F413D0">
        <w:rPr>
          <w:rFonts w:ascii="华文中宋" w:eastAsia="华文中宋" w:hAnsi="华文中宋" w:hint="eastAsia"/>
          <w:b/>
          <w:bCs/>
          <w:sz w:val="44"/>
          <w:szCs w:val="44"/>
        </w:rPr>
        <w:t>餐饮配送食品安全管理制度</w:t>
      </w:r>
    </w:p>
    <w:p w:rsidR="003F5C45" w:rsidRDefault="00F413D0" w:rsidP="009B0518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bookmarkStart w:id="0" w:name="_GoBack"/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建立制度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。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依据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《中华人民共和国食品安全法》、《学校食品安全与营养健康管理规定》、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《食品经营许可审查通则（试行）》、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《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餐饮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服务食品安全操作规范》等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有关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规定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，有从事餐饮配送的单位（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中央厨房和集体用餐配送单位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）</w:t>
      </w:r>
      <w:proofErr w:type="gramStart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宜建立</w:t>
      </w:r>
      <w:proofErr w:type="gramEnd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本制度。</w:t>
      </w:r>
    </w:p>
    <w:p w:rsidR="003F5C45" w:rsidRDefault="00F77607" w:rsidP="00481090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建立</w:t>
      </w:r>
      <w:r w:rsidR="00481090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食品安全管理机制：</w:t>
      </w:r>
      <w:r w:rsidR="00F413D0" w:rsidRPr="0048109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应当设置独立的食品安全管理部门，</w:t>
      </w:r>
      <w:r w:rsidR="00F413D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并配备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至少</w:t>
      </w:r>
      <w:r w:rsidR="00F413D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1名专职的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高级</w:t>
      </w:r>
      <w:r w:rsidR="00F413D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食品安全管理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人</w:t>
      </w:r>
      <w:r w:rsidR="00F413D0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员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，制定加工操作规程，按照操作规范的要求严格控制食品加工制作过程，落实各项食品安全管理工作，确保供餐安全。</w:t>
      </w:r>
    </w:p>
    <w:p w:rsidR="003F5C45" w:rsidRDefault="00F413D0" w:rsidP="00481090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481090">
        <w:rPr>
          <w:rFonts w:ascii="仿宋" w:eastAsia="仿宋" w:hAnsi="仿宋" w:cs="宋体"/>
          <w:b/>
          <w:color w:val="000000" w:themeColor="text1"/>
          <w:kern w:val="0"/>
          <w:sz w:val="28"/>
          <w:szCs w:val="28"/>
        </w:rPr>
        <w:t>中央厨房、集体用餐配送单位食品加工经营场所的设置和设备</w:t>
      </w:r>
      <w:r w:rsidR="00481090" w:rsidRPr="00481090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设</w:t>
      </w:r>
      <w:r w:rsidRPr="00481090">
        <w:rPr>
          <w:rFonts w:ascii="仿宋" w:eastAsia="仿宋" w:hAnsi="仿宋" w:cs="宋体"/>
          <w:b/>
          <w:color w:val="000000" w:themeColor="text1"/>
          <w:kern w:val="0"/>
          <w:sz w:val="28"/>
          <w:szCs w:val="28"/>
        </w:rPr>
        <w:t>施</w:t>
      </w:r>
      <w:r w:rsidR="0048109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：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应当符合</w:t>
      </w:r>
      <w:r w:rsidR="0048109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许可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审查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通则的规定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食品处理区的面积不得小于300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㎡，场所地面应采用便于清洗的硬质材料铺设，有良好的排水系统。中央厨房和集体用餐配送单位的食品冷却、分装等应在专间内进行。</w:t>
      </w:r>
    </w:p>
    <w:p w:rsidR="003F5C45" w:rsidRDefault="00F413D0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000000" w:themeColor="text1"/>
          <w:kern w:val="0"/>
          <w:sz w:val="28"/>
          <w:szCs w:val="28"/>
        </w:rPr>
        <w:t>食品检测</w:t>
      </w:r>
      <w:r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应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设置与加工制作的食品品种相适应的检验室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，并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配备具有相应检测能力的检验设施和检验人员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制定检验检测计划，定期对大宗食品原料、加工制作环境等自行或委托具有资质的第三方机构进行检验检测。从事校外集体配餐的集体配餐单位，应对加工制作的每批次食品进行抽样检测，检测结果应做好记录并形成档案以备查验。</w:t>
      </w:r>
    </w:p>
    <w:p w:rsidR="003F5C45" w:rsidRDefault="00F413D0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禁止</w:t>
      </w:r>
      <w:r>
        <w:rPr>
          <w:rFonts w:ascii="仿宋" w:eastAsia="仿宋" w:hAnsi="仿宋" w:cs="宋体"/>
          <w:b/>
          <w:color w:val="000000" w:themeColor="text1"/>
          <w:kern w:val="0"/>
          <w:sz w:val="28"/>
          <w:szCs w:val="28"/>
        </w:rPr>
        <w:t>配送的食品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不得配送冷食类食品、生食类食品、自制冷冻饮品（包括冰淇淋、酸奶、乳酸发酵饮料、鲜</w:t>
      </w:r>
      <w:proofErr w:type="gramStart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榨</w:t>
      </w:r>
      <w:proofErr w:type="gramEnd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果汁以及其他冷冻饮品）、裱花蛋糕以及其他冷加工糕点，但中央厨房以半成品形式</w:t>
      </w:r>
      <w:proofErr w:type="gramStart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lastRenderedPageBreak/>
        <w:t>配送至门店</w:t>
      </w:r>
      <w:proofErr w:type="gramEnd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后现场改刀的烧卤熟肉制品以及现场调制的凉菜、沙拉等冷食类食品除外。中央厨房仅限于为本餐饮服务单位所属（含加盟）的餐饮门店配送食品成品或半成品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。严禁校外集体配餐配送高风险食品，禁、慎用食品类别(品种)名单见深圳市《关于规范全市学校校外集体配餐管理工作的通知》附件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3F5C45" w:rsidRDefault="00F413D0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配送容器及车辆。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应使用专用的密闭容器（或包装）和车辆配送食品，容器的内部结构应便于清洁，容器材料应符合食品安全国家标准或有关规定。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不得将食品与有毒有害物品混装配送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食品与非食品、不同存在形式的食品应使用容器或独立包装等分隔，盛放容器和包装应严密，防止食品受到污染。配送前，应清洁运输车辆的车厢和配送容器，盛放成品的容器还应经过消毒。食品的温度和配送时间应符合食品安全要求。</w:t>
      </w:r>
    </w:p>
    <w:p w:rsidR="003F5C45" w:rsidRDefault="00F413D0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000000" w:themeColor="text1"/>
          <w:kern w:val="0"/>
          <w:sz w:val="28"/>
          <w:szCs w:val="28"/>
        </w:rPr>
        <w:t>食品标签及配送清单</w:t>
      </w:r>
      <w:r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。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配送食品的容器（或包装）应标</w:t>
      </w:r>
      <w:proofErr w:type="gramStart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注产品</w:t>
      </w:r>
      <w:proofErr w:type="gramEnd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信息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，中央厨房配送食品的包装或容器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应标注中央厨房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的名称、地址、许可证号、联系方式，以及食品名称、加工制作时间、保存条件、保存期限、加工制作要求等，集体用餐配送单位配送食品的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容器上应标注食用时限和食用方法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。应建立食品追溯系统，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制作一式两</w:t>
      </w:r>
      <w:proofErr w:type="gramStart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联以上</w:t>
      </w:r>
      <w:proofErr w:type="gramEnd"/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的产品配送清单（出货单），项目内容包括配送单位名称、配送对象、配送日期、品种、数量、生产日期或批号、发货人、收货人等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3F5C45" w:rsidRDefault="00F413D0" w:rsidP="009B0518">
      <w:pPr>
        <w:widowControl/>
        <w:numPr>
          <w:ilvl w:val="0"/>
          <w:numId w:val="1"/>
        </w:numPr>
        <w:snapToGrid w:val="0"/>
        <w:spacing w:line="360" w:lineRule="auto"/>
        <w:ind w:firstLineChars="200" w:firstLine="562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9B0518">
        <w:rPr>
          <w:rFonts w:ascii="仿宋" w:eastAsia="仿宋" w:hAnsi="仿宋" w:cs="宋体"/>
          <w:b/>
          <w:color w:val="000000" w:themeColor="text1"/>
          <w:kern w:val="0"/>
          <w:sz w:val="28"/>
          <w:szCs w:val="28"/>
        </w:rPr>
        <w:t>集体用餐配送食品的食用时限应符合以下要求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 xml:space="preserve">：    </w:t>
      </w:r>
    </w:p>
    <w:p w:rsidR="003F5C45" w:rsidRDefault="00F413D0">
      <w:pPr>
        <w:widowControl/>
        <w:snapToGrid w:val="0"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（一）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烧熟后2小时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，食品的中心温度保持在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60℃以上（热藏）的，其食用时限为烧熟后4小时；</w:t>
      </w:r>
    </w:p>
    <w:p w:rsidR="003F5C45" w:rsidRDefault="00F413D0">
      <w:pPr>
        <w:widowControl/>
        <w:snapToGrid w:val="0"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（二）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烧熟后按照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操作规范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高危易腐食品冷却要求，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将食品的中心温度降至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8℃并冷藏保存的，其食用时限为烧熟后24小时。供餐</w:t>
      </w:r>
      <w:r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lastRenderedPageBreak/>
        <w:t>前应按要求对食品进行再加热。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校外集体配餐的集体配餐单位设置的</w:t>
      </w:r>
      <w:proofErr w:type="gramStart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复热点</w:t>
      </w:r>
      <w:proofErr w:type="gramEnd"/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原则上距离学校不得超出30分钟车程。</w:t>
      </w:r>
    </w:p>
    <w:p w:rsidR="00481090" w:rsidRPr="00A7192C" w:rsidRDefault="009B0518" w:rsidP="009B0518">
      <w:pPr>
        <w:widowControl/>
        <w:shd w:val="clear" w:color="auto" w:fill="FFFFFF"/>
        <w:spacing w:before="100" w:beforeAutospacing="1" w:after="100" w:afterAutospacing="1" w:line="480" w:lineRule="atLeast"/>
        <w:ind w:firstLineChars="200" w:firstLine="561"/>
        <w:jc w:val="left"/>
        <w:rPr>
          <w:rFonts w:ascii="微软雅黑" w:eastAsia="微软雅黑" w:hAnsi="微软雅黑" w:cs="宋体"/>
          <w:color w:val="4B4B4B"/>
          <w:kern w:val="0"/>
          <w:sz w:val="24"/>
          <w:szCs w:val="24"/>
        </w:rPr>
      </w:pPr>
      <w:r w:rsidRPr="009B0518">
        <w:rPr>
          <w:rFonts w:ascii="仿宋" w:eastAsia="华文中宋" w:hAnsi="仿宋" w:cs="宋体" w:hint="eastAsia"/>
          <w:b/>
          <w:color w:val="000000" w:themeColor="text1"/>
          <w:kern w:val="0"/>
          <w:sz w:val="28"/>
          <w:szCs w:val="28"/>
        </w:rPr>
        <w:t>九、</w:t>
      </w:r>
      <w:r w:rsidR="00F413D0" w:rsidRPr="009B0518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从事校外集体配餐的集体配餐单位</w:t>
      </w:r>
      <w:r w:rsidRPr="009B0518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要求：</w:t>
      </w:r>
      <w:r w:rsidR="004837EB">
        <w:rPr>
          <w:rFonts w:ascii="仿宋" w:eastAsia="仿宋" w:hAnsi="仿宋" w:cs="宋体" w:hint="eastAsia"/>
          <w:b/>
          <w:color w:val="000000" w:themeColor="text1"/>
          <w:kern w:val="0"/>
          <w:sz w:val="28"/>
          <w:szCs w:val="28"/>
        </w:rPr>
        <w:t>应熟知</w:t>
      </w:r>
      <w:r w:rsidRPr="009B05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《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省</w:t>
      </w:r>
      <w:r w:rsidRPr="009B0518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四部门关于落实主体责任强化校园食品安全管理的指导意见的通知》</w:t>
      </w:r>
      <w:r w:rsidR="004837EB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、</w:t>
      </w:r>
      <w:r w:rsidR="004837EB">
        <w:rPr>
          <w:rFonts w:ascii="仿宋" w:eastAsia="仿宋" w:hAnsi="仿宋" w:cs="仿宋" w:hint="eastAsia"/>
          <w:color w:val="000000" w:themeColor="text1"/>
          <w:sz w:val="28"/>
          <w:szCs w:val="28"/>
        </w:rPr>
        <w:t>《学校食品安全与营养健康管理规定》和</w:t>
      </w:r>
      <w:r w:rsidR="004837EB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深圳市《关于规范全市学校校外集体配餐管理工作的通知》等要求</w:t>
      </w:r>
      <w:r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proofErr w:type="gramStart"/>
      <w:r w:rsidR="004837EB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另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应满足</w:t>
      </w:r>
      <w:proofErr w:type="gramEnd"/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以下要求：（一）食品安全量化等级评定应达到A级</w:t>
      </w:r>
      <w:r w:rsidR="0048109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；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（二）应在加工环节完成独立包装，不得在学校进行分餐</w:t>
      </w:r>
      <w:r w:rsidR="0048109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；</w:t>
      </w:r>
      <w:r w:rsidR="00F413D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（三）采取“互联网+</w:t>
      </w:r>
      <w:r w:rsidR="00481090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明厨亮灶”等形式对现场操作予以公示监督；</w:t>
      </w:r>
      <w:r w:rsidR="00481090" w:rsidRPr="004837EB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（四）实施危害分析和关键控制点（HACCP）</w:t>
      </w:r>
      <w:r w:rsidR="002455EA" w:rsidRPr="004837EB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或ISO20002</w:t>
      </w:r>
      <w:r w:rsidR="00481090" w:rsidRPr="004837EB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体系认证;(五)是根据产能情况，投保相应额度的食品安全责任险</w:t>
      </w:r>
      <w:r w:rsidRPr="004837EB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；（六）从业人员要定期参加食品安全培训考核，每周进行一次集中学习；每周开展食品安全自查；对大宗食品原料、加工制作环境、成品等进行检验检测。</w:t>
      </w:r>
    </w:p>
    <w:p w:rsidR="003F5C45" w:rsidRDefault="003F5C45" w:rsidP="00481090">
      <w:pPr>
        <w:widowControl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bookmarkEnd w:id="0"/>
    <w:p w:rsidR="003F5C45" w:rsidRDefault="00A71A9C">
      <w:pPr>
        <w:widowControl/>
        <w:snapToGrid w:val="0"/>
        <w:spacing w:line="5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宋体"/>
          <w:noProof/>
          <w:color w:val="000000" w:themeColor="text1"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146050</wp:posOffset>
            </wp:positionV>
            <wp:extent cx="828675" cy="1019175"/>
            <wp:effectExtent l="0" t="0" r="0" b="0"/>
            <wp:wrapNone/>
            <wp:docPr id="6" name="图片 2" descr="D:\宣传资料\宣传用图\设计用图\局徽、章\市场监管委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宣传资料\宣传用图\设计用图\局徽、章\市场监管委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5C45" w:rsidRDefault="003F5C45">
      <w:pPr>
        <w:widowControl/>
        <w:snapToGrid w:val="0"/>
        <w:spacing w:line="5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3F5C45" w:rsidRDefault="00A71A9C">
      <w:pPr>
        <w:pStyle w:val="a3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 xml:space="preserve">     </w:t>
      </w:r>
      <w:r w:rsidR="00F413D0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深圳市市场监督管理局编制</w:t>
      </w:r>
    </w:p>
    <w:p w:rsidR="003F5C45" w:rsidRDefault="003F5C45">
      <w:pPr>
        <w:widowControl/>
        <w:snapToGrid w:val="0"/>
        <w:spacing w:line="500" w:lineRule="exact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sectPr w:rsidR="003F5C45" w:rsidSect="003F5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8CC" w:rsidRDefault="006E78CC" w:rsidP="00C63A64">
      <w:r>
        <w:separator/>
      </w:r>
    </w:p>
  </w:endnote>
  <w:endnote w:type="continuationSeparator" w:id="0">
    <w:p w:rsidR="006E78CC" w:rsidRDefault="006E78CC" w:rsidP="00C63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-简">
    <w:altName w:val="黑体"/>
    <w:charset w:val="88"/>
    <w:family w:val="auto"/>
    <w:pitch w:val="default"/>
    <w:sig w:usb0="00000000" w:usb1="00000000" w:usb2="00000010" w:usb3="00000000" w:csb0="003E0000" w:csb1="00000000"/>
  </w:font>
  <w:font w:name="黒体-簡">
    <w:altName w:val="Arial Unicode MS"/>
    <w:charset w:val="88"/>
    <w:family w:val="auto"/>
    <w:pitch w:val="default"/>
    <w:sig w:usb0="00000000" w:usb1="00000000" w:usb2="00000010" w:usb3="00000000" w:csb0="003E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8CC" w:rsidRDefault="006E78CC" w:rsidP="00C63A64">
      <w:r>
        <w:separator/>
      </w:r>
    </w:p>
  </w:footnote>
  <w:footnote w:type="continuationSeparator" w:id="0">
    <w:p w:rsidR="006E78CC" w:rsidRDefault="006E78CC" w:rsidP="00C63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BEF2DFC"/>
    <w:multiLevelType w:val="singleLevel"/>
    <w:tmpl w:val="834C8C94"/>
    <w:lvl w:ilvl="0">
      <w:start w:val="1"/>
      <w:numFmt w:val="chineseCounting"/>
      <w:suff w:val="nothing"/>
      <w:lvlText w:val="%1、"/>
      <w:lvlJc w:val="left"/>
      <w:rPr>
        <w:rFonts w:ascii="华文中宋" w:eastAsia="华文中宋" w:hAnsi="华文中宋" w:hint="eastAsia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193"/>
    <w:rsid w:val="00073EFA"/>
    <w:rsid w:val="00093B25"/>
    <w:rsid w:val="00117215"/>
    <w:rsid w:val="001A5F11"/>
    <w:rsid w:val="001D3025"/>
    <w:rsid w:val="001F12CF"/>
    <w:rsid w:val="002455EA"/>
    <w:rsid w:val="002610BB"/>
    <w:rsid w:val="002E402D"/>
    <w:rsid w:val="003113F9"/>
    <w:rsid w:val="003F5C45"/>
    <w:rsid w:val="00481090"/>
    <w:rsid w:val="004837EB"/>
    <w:rsid w:val="004D516B"/>
    <w:rsid w:val="005B0193"/>
    <w:rsid w:val="006B4FD8"/>
    <w:rsid w:val="006C3CFE"/>
    <w:rsid w:val="006E78CC"/>
    <w:rsid w:val="00731966"/>
    <w:rsid w:val="00800BAE"/>
    <w:rsid w:val="00814A7F"/>
    <w:rsid w:val="008710BE"/>
    <w:rsid w:val="00886A16"/>
    <w:rsid w:val="009A32D7"/>
    <w:rsid w:val="009B0518"/>
    <w:rsid w:val="00A40E75"/>
    <w:rsid w:val="00A71A9C"/>
    <w:rsid w:val="00AA1AAC"/>
    <w:rsid w:val="00AB1E58"/>
    <w:rsid w:val="00B90174"/>
    <w:rsid w:val="00C27A56"/>
    <w:rsid w:val="00C63A64"/>
    <w:rsid w:val="00DA22BA"/>
    <w:rsid w:val="00DE0772"/>
    <w:rsid w:val="00E97698"/>
    <w:rsid w:val="00EC5E44"/>
    <w:rsid w:val="00F413D0"/>
    <w:rsid w:val="00F43C76"/>
    <w:rsid w:val="00F61503"/>
    <w:rsid w:val="00F77607"/>
    <w:rsid w:val="00FF0523"/>
    <w:rsid w:val="0C9C332E"/>
    <w:rsid w:val="207807E0"/>
    <w:rsid w:val="25B75D0B"/>
    <w:rsid w:val="291E49FF"/>
    <w:rsid w:val="3BE703B9"/>
    <w:rsid w:val="3CAA412F"/>
    <w:rsid w:val="43187A00"/>
    <w:rsid w:val="4D465D45"/>
    <w:rsid w:val="63AA1AD7"/>
    <w:rsid w:val="653D6FF1"/>
    <w:rsid w:val="7F033A55"/>
    <w:rsid w:val="7F27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C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F5C45"/>
    <w:pPr>
      <w:keepNext/>
      <w:keepLines/>
      <w:spacing w:before="100" w:beforeAutospacing="1" w:line="360" w:lineRule="auto"/>
      <w:outlineLvl w:val="0"/>
    </w:pPr>
    <w:rPr>
      <w:rFonts w:ascii="黑体-简" w:eastAsia="黑体-简"/>
      <w:bCs/>
      <w:kern w:val="44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F5C45"/>
    <w:pPr>
      <w:keepNext/>
      <w:keepLines/>
      <w:spacing w:line="360" w:lineRule="auto"/>
      <w:outlineLvl w:val="1"/>
    </w:pPr>
    <w:rPr>
      <w:rFonts w:ascii="黒体-簡" w:eastAsia="黒体-簡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F5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F5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3F5C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sid w:val="003F5C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F5C4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3F5C45"/>
    <w:rPr>
      <w:rFonts w:ascii="黑体-简" w:eastAsia="黑体-简"/>
      <w:bCs/>
      <w:kern w:val="44"/>
      <w:sz w:val="24"/>
      <w:szCs w:val="24"/>
    </w:rPr>
  </w:style>
  <w:style w:type="character" w:customStyle="1" w:styleId="2Char">
    <w:name w:val="标题 2 Char"/>
    <w:basedOn w:val="a0"/>
    <w:link w:val="2"/>
    <w:uiPriority w:val="9"/>
    <w:qFormat/>
    <w:rsid w:val="003F5C45"/>
    <w:rPr>
      <w:rFonts w:ascii="黒体-簡" w:eastAsia="黒体-簡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F5C45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63A6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63A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华艳萍</cp:lastModifiedBy>
  <cp:revision>16</cp:revision>
  <dcterms:created xsi:type="dcterms:W3CDTF">2019-08-20T13:27:00Z</dcterms:created>
  <dcterms:modified xsi:type="dcterms:W3CDTF">2020-08-06T09:57:00Z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