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1F" w:rsidRDefault="00BB6BB7" w:rsidP="006B55D7">
      <w:pPr>
        <w:spacing w:afterLines="10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44"/>
          <w:szCs w:val="44"/>
        </w:rPr>
        <w:t>食品添加剂使用及公示管理制度</w:t>
      </w:r>
    </w:p>
    <w:p w:rsidR="0001191F" w:rsidRDefault="00BB6BB7" w:rsidP="006B55D7">
      <w:pPr>
        <w:widowControl/>
        <w:spacing w:line="500" w:lineRule="exact"/>
        <w:ind w:firstLineChars="250" w:firstLine="701"/>
        <w:jc w:val="lef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一、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建立制度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依据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《食品安全法》、《广东省食品安全条例》及有关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《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国家食品安全标准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食品添加剂使用标准》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GB2760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、卫健委（原卫生部或卫计委）公告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等规定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，对有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使用食品添加剂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的单位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应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建立本制度。</w:t>
      </w:r>
    </w:p>
    <w:p w:rsidR="0001191F" w:rsidRDefault="00BB6BB7" w:rsidP="006B55D7">
      <w:pPr>
        <w:spacing w:line="500" w:lineRule="exact"/>
        <w:ind w:firstLineChars="200" w:firstLine="56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二、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严禁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使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用非食用物质加工食品。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如：硼酸、硼砂、罂粟壳、</w:t>
      </w:r>
    </w:p>
    <w:p w:rsidR="0001191F" w:rsidRDefault="00BB6BB7">
      <w:pPr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废弃食用油脂、工业用料、甲醛等，餐饮业暂养的水产品严禁使用违禁抗生素等。参照《食品中可能违法添加非食用物质和易滥用的食品添加剂品种名单》中规定的非食用物质和添加剂禁止使用。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非食用物质≠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食品添加剂，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存在使用非食用物质等情节严重的情形，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构成犯罪的，依法追究刑事责任。</w:t>
      </w:r>
    </w:p>
    <w:p w:rsidR="0001191F" w:rsidRDefault="00BB6BB7" w:rsidP="006B55D7">
      <w:pPr>
        <w:spacing w:line="500" w:lineRule="exact"/>
        <w:ind w:firstLineChars="200" w:firstLine="561"/>
        <w:rPr>
          <w:rFonts w:ascii="仿宋_GB2312" w:eastAsia="仿宋_GB2312"/>
          <w:color w:val="000000" w:themeColor="text1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三、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禁止滥用食品添加剂。应严格按照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GB 2760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及卫健委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规定的食品添加剂品种、使用范围、使用量使用食品添加剂。不得采购、贮存、使用亚硝酸盐（包括亚硝酸钠、亚硝酸钾）。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常见滥用情形：</w:t>
      </w:r>
    </w:p>
    <w:p w:rsidR="0001191F" w:rsidRDefault="00BB6BB7" w:rsidP="006B55D7">
      <w:pPr>
        <w:spacing w:line="500" w:lineRule="exact"/>
        <w:ind w:leftChars="7" w:left="15" w:firstLineChars="107" w:firstLine="30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）含柠檬黄、日落黄等合成色素的吉士粉、油性色素等不可用于面点、肉类加工、糕点（除限量使用于陷料及裱花蛋糕以外）；</w:t>
      </w:r>
      <w:r>
        <w:rPr>
          <w:rFonts w:ascii="仿宋_GB2312" w:eastAsia="仿宋_GB2312"/>
          <w:color w:val="000000" w:themeColor="text1"/>
          <w:sz w:val="28"/>
          <w:szCs w:val="28"/>
        </w:rPr>
        <w:t xml:space="preserve">  </w:t>
      </w:r>
    </w:p>
    <w:p w:rsidR="0001191F" w:rsidRDefault="00BB6BB7" w:rsidP="006B55D7">
      <w:pPr>
        <w:spacing w:line="500" w:lineRule="exact"/>
        <w:ind w:leftChars="7" w:left="15" w:firstLineChars="107" w:firstLine="30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2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）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小麦粉及其制品（除油炸面制品、面糊（如用于鱼和禽肉的拖面糊）、裹粉、煎炸粉外）</w:t>
      </w:r>
      <w:r>
        <w:rPr>
          <w:rFonts w:ascii="仿宋_GB2312" w:eastAsia="仿宋_GB2312" w:hAnsi="Calibri" w:cs="Calibri" w:hint="eastAsia"/>
          <w:b/>
          <w:bCs/>
          <w:color w:val="000000" w:themeColor="text1"/>
          <w:sz w:val="28"/>
          <w:szCs w:val="28"/>
          <w:u w:val="single"/>
        </w:rPr>
        <w:t>膨松不得使用含有硫酸铝钾和硫酸铝铵</w:t>
      </w:r>
      <w:r>
        <w:rPr>
          <w:rFonts w:ascii="仿宋_GB2312" w:eastAsia="仿宋_GB2312" w:hAnsi="Calibri" w:cs="Calibri" w:hint="eastAsia"/>
          <w:b/>
          <w:bCs/>
          <w:color w:val="000000" w:themeColor="text1"/>
          <w:sz w:val="28"/>
          <w:szCs w:val="28"/>
          <w:u w:val="single"/>
        </w:rPr>
        <w:t>(</w:t>
      </w:r>
      <w:r>
        <w:rPr>
          <w:rFonts w:ascii="仿宋_GB2312" w:eastAsia="仿宋_GB2312" w:hAnsi="Calibri" w:cs="Calibri" w:hint="eastAsia"/>
          <w:b/>
          <w:bCs/>
          <w:color w:val="000000" w:themeColor="text1"/>
          <w:sz w:val="28"/>
          <w:szCs w:val="28"/>
          <w:u w:val="single"/>
        </w:rPr>
        <w:t>也称“明矾”</w:t>
      </w:r>
      <w:r>
        <w:rPr>
          <w:rFonts w:ascii="仿宋_GB2312" w:eastAsia="仿宋_GB2312" w:hAnsi="Calibri" w:cs="Calibri" w:hint="eastAsia"/>
          <w:b/>
          <w:bCs/>
          <w:color w:val="000000" w:themeColor="text1"/>
          <w:sz w:val="28"/>
          <w:szCs w:val="28"/>
          <w:u w:val="single"/>
        </w:rPr>
        <w:t>)</w:t>
      </w:r>
      <w:r>
        <w:rPr>
          <w:rFonts w:ascii="仿宋_GB2312" w:eastAsia="仿宋_GB2312" w:hAnsi="Calibri" w:cs="Calibri" w:hint="eastAsia"/>
          <w:b/>
          <w:bCs/>
          <w:color w:val="000000" w:themeColor="text1"/>
          <w:sz w:val="28"/>
          <w:szCs w:val="28"/>
          <w:u w:val="single"/>
        </w:rPr>
        <w:t>成分的泡打粉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，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应使用配料中不含铝成份的酵母、泡打粉等食品添加剂；</w:t>
      </w:r>
    </w:p>
    <w:p w:rsidR="0001191F" w:rsidRDefault="00BB6BB7" w:rsidP="006B55D7">
      <w:pPr>
        <w:spacing w:line="500" w:lineRule="exact"/>
        <w:ind w:leftChars="7" w:left="15" w:firstLineChars="107" w:firstLine="300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（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3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）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本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省内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餐饮单位目前不得使用防腐剂、乳化剂、稳定剂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。防腐剂常见有：亚硝酸盐、苯甲酸、苯甲酸钠等。</w:t>
      </w:r>
    </w:p>
    <w:p w:rsidR="0001191F" w:rsidRDefault="00BB6BB7" w:rsidP="006B55D7">
      <w:pPr>
        <w:pStyle w:val="2"/>
        <w:overflowPunct w:val="0"/>
        <w:spacing w:line="500" w:lineRule="exact"/>
        <w:ind w:firstLineChars="200" w:firstLine="561"/>
        <w:rPr>
          <w:rFonts w:ascii="仿宋" w:eastAsia="仿宋" w:hAnsi="仿宋" w:cs="仿宋"/>
          <w:color w:val="000000" w:themeColor="text1"/>
          <w:sz w:val="28"/>
          <w:szCs w:val="28"/>
        </w:rPr>
      </w:pPr>
      <w:bookmarkStart w:id="0" w:name="_Toc517621287"/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四、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食品添加剂使用</w:t>
      </w:r>
      <w:bookmarkEnd w:id="0"/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原则。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应在技术上确有必要，并在达到预期效果的前提下尽可能降低使用量。</w:t>
      </w:r>
    </w:p>
    <w:p w:rsidR="0001191F" w:rsidRDefault="00BB6BB7" w:rsidP="006B55D7">
      <w:pPr>
        <w:overflowPunct w:val="0"/>
        <w:spacing w:line="500" w:lineRule="exact"/>
        <w:ind w:firstLineChars="200" w:firstLine="56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五、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专柜（位）存放食品添加剂，并标注“食品添加剂”字样。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使用容器盛放拆包后的食品添加剂的，应在盛放容器上标明食品添加剂名称，并保留原包装。</w:t>
      </w:r>
    </w:p>
    <w:p w:rsidR="0001191F" w:rsidRDefault="00BB6BB7" w:rsidP="006B55D7">
      <w:pPr>
        <w:widowControl/>
        <w:snapToGrid w:val="0"/>
        <w:spacing w:line="500" w:lineRule="exact"/>
        <w:ind w:firstLineChars="200" w:firstLine="561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六、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对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GB 2760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规定有“最大使用量”的食品添加剂品种，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应专册记录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使用及精准称量使用。具体依据《餐饮服务食品安全操作规范》规定</w:t>
      </w:r>
      <w:bookmarkStart w:id="1" w:name="_Toc517621337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，应记录的内容见表格“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附录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D</w:t>
      </w:r>
      <w:bookmarkEnd w:id="1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食品添加剂使用记录表格示例”，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按“生产需要适量使用”的品种可不用记录和</w:t>
      </w:r>
      <w:r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精准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称量。</w:t>
      </w:r>
    </w:p>
    <w:p w:rsidR="0001191F" w:rsidRDefault="00BB6BB7" w:rsidP="006B55D7">
      <w:pPr>
        <w:spacing w:line="500" w:lineRule="exact"/>
        <w:ind w:firstLineChars="150" w:firstLine="420"/>
        <w:rPr>
          <w:rFonts w:ascii="仿宋" w:eastAsia="仿宋" w:hAnsi="仿宋" w:cs="仿宋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七、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依法采购食品添加剂。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须依据《食品安全法》规定结合《采购索证和进货查验制度》索证索票并查验记录，食品添加剂包装标签上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应注明“食品添加剂”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字样，具体标签要求应符合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《食品安全法》第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67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、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70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、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71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、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97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条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的规定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01191F" w:rsidRDefault="00BB6BB7" w:rsidP="006B55D7">
      <w:pPr>
        <w:spacing w:line="500" w:lineRule="exact"/>
        <w:ind w:firstLineChars="150"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八、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使用公示。</w:t>
      </w:r>
      <w:r>
        <w:rPr>
          <w:rFonts w:ascii="仿宋" w:eastAsia="仿宋" w:hAnsi="仿宋" w:cs="仿宋" w:hint="eastAsia"/>
          <w:sz w:val="28"/>
          <w:szCs w:val="28"/>
        </w:rPr>
        <w:t>依据深圳市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监管要求，在就餐场所《食品安全信息公示栏》应公示加工制作中添加的食品添加剂，公示</w:t>
      </w:r>
      <w:proofErr w:type="gramStart"/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样式见模版</w:t>
      </w:r>
      <w:proofErr w:type="gramEnd"/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。信息要与实际正在使用的食品添加剂相符，不得提供虚假信息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,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有变化时应及时更新公示信息。如连锁餐饮各门店统一采用的原料由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中央厨房使用食品添加剂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的，宜在各门店统一公示有关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使用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信息，以维护消费者的知情权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:rsidR="0001191F" w:rsidRDefault="00BB6BB7" w:rsidP="006B55D7">
      <w:pPr>
        <w:widowControl/>
        <w:snapToGrid w:val="0"/>
        <w:spacing w:line="500" w:lineRule="exact"/>
        <w:ind w:firstLineChars="200" w:firstLine="561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6B55D7">
        <w:rPr>
          <w:rFonts w:ascii="华文中宋" w:eastAsia="华文中宋" w:hAnsi="华文中宋" w:cs="仿宋" w:hint="eastAsia"/>
          <w:b/>
          <w:bCs/>
          <w:color w:val="000000" w:themeColor="text1"/>
          <w:sz w:val="28"/>
          <w:szCs w:val="28"/>
        </w:rPr>
        <w:t>九、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采购及使用者均应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熟悉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专业知识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由专人负责食品添加剂管理并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需经过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食品添加剂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专业知识培训合格，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专业指导、监督本单位合法采购、使用食品添加剂。使用过程不得有员工擅自携带进口“走私”品种以及来源不明、标签不明、原料变质等禁止情形。</w:t>
      </w:r>
    </w:p>
    <w:p w:rsidR="0001191F" w:rsidRDefault="006B55D7">
      <w:pPr>
        <w:jc w:val="center"/>
        <w:rPr>
          <w:rFonts w:ascii="华文中宋" w:eastAsia="华文中宋" w:hAnsi="华文中宋"/>
          <w:color w:val="000000" w:themeColor="text1"/>
          <w:sz w:val="28"/>
          <w:szCs w:val="28"/>
        </w:rPr>
      </w:pPr>
      <w:r>
        <w:rPr>
          <w:rFonts w:ascii="华文中宋" w:eastAsia="华文中宋" w:hAnsi="华文中宋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9525</wp:posOffset>
            </wp:positionV>
            <wp:extent cx="895350" cy="1066800"/>
            <wp:effectExtent l="0" t="0" r="0" b="0"/>
            <wp:wrapNone/>
            <wp:docPr id="4" name="图片 2" descr="D:\宣传资料\宣传用图\设计用图\局徽、章\市场监管委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宣传资料\宣传用图\设计用图\局徽、章\市场监管委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191F" w:rsidRDefault="006B55D7" w:rsidP="006B55D7">
      <w:pPr>
        <w:pStyle w:val="a4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 xml:space="preserve">                   </w:t>
      </w:r>
      <w:r w:rsidR="00BB6BB7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深圳市市场监督管理局</w:t>
      </w:r>
      <w:r w:rsidR="00BB6BB7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编</w:t>
      </w:r>
      <w:r w:rsidR="00BB6BB7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制</w:t>
      </w:r>
    </w:p>
    <w:p w:rsidR="0001191F" w:rsidRPr="006B55D7" w:rsidRDefault="0001191F">
      <w:pPr>
        <w:jc w:val="center"/>
        <w:rPr>
          <w:rFonts w:ascii="华文中宋" w:eastAsia="华文中宋" w:hAnsi="华文中宋"/>
          <w:color w:val="000000" w:themeColor="text1"/>
          <w:sz w:val="28"/>
          <w:szCs w:val="28"/>
        </w:rPr>
      </w:pPr>
      <w:bookmarkStart w:id="2" w:name="_GoBack"/>
      <w:bookmarkEnd w:id="2"/>
    </w:p>
    <w:sectPr w:rsidR="0001191F" w:rsidRPr="006B55D7" w:rsidSect="00011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BB7" w:rsidRDefault="00BB6BB7" w:rsidP="006B55D7">
      <w:r>
        <w:separator/>
      </w:r>
    </w:p>
  </w:endnote>
  <w:endnote w:type="continuationSeparator" w:id="0">
    <w:p w:rsidR="00BB6BB7" w:rsidRDefault="00BB6BB7" w:rsidP="006B5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-简">
    <w:altName w:val="黑体"/>
    <w:charset w:val="88"/>
    <w:family w:val="auto"/>
    <w:pitch w:val="default"/>
    <w:sig w:usb0="00000000" w:usb1="00000000" w:usb2="00000010" w:usb3="00000000" w:csb0="003E0000" w:csb1="00000000"/>
  </w:font>
  <w:font w:name="黒体-簡">
    <w:altName w:val="Arial Unicode MS"/>
    <w:charset w:val="88"/>
    <w:family w:val="auto"/>
    <w:pitch w:val="default"/>
    <w:sig w:usb0="00000000" w:usb1="00000000" w:usb2="00000010" w:usb3="00000000" w:csb0="003E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BB7" w:rsidRDefault="00BB6BB7" w:rsidP="006B55D7">
      <w:r>
        <w:separator/>
      </w:r>
    </w:p>
  </w:footnote>
  <w:footnote w:type="continuationSeparator" w:id="0">
    <w:p w:rsidR="00BB6BB7" w:rsidRDefault="00BB6BB7" w:rsidP="006B55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67B"/>
    <w:rsid w:val="0001191F"/>
    <w:rsid w:val="00093B25"/>
    <w:rsid w:val="002629A6"/>
    <w:rsid w:val="00435E0D"/>
    <w:rsid w:val="004C5D77"/>
    <w:rsid w:val="006B55D7"/>
    <w:rsid w:val="00886A16"/>
    <w:rsid w:val="009F1F25"/>
    <w:rsid w:val="00A83689"/>
    <w:rsid w:val="00AF19B4"/>
    <w:rsid w:val="00BB6BB7"/>
    <w:rsid w:val="00C9167B"/>
    <w:rsid w:val="00F03C34"/>
    <w:rsid w:val="0F1E3519"/>
    <w:rsid w:val="16771844"/>
    <w:rsid w:val="19B55C50"/>
    <w:rsid w:val="230E408B"/>
    <w:rsid w:val="238E1350"/>
    <w:rsid w:val="34360654"/>
    <w:rsid w:val="397D56DA"/>
    <w:rsid w:val="42B62500"/>
    <w:rsid w:val="4B5940A3"/>
    <w:rsid w:val="546E67E1"/>
    <w:rsid w:val="6B5C1BB5"/>
    <w:rsid w:val="729679EB"/>
    <w:rsid w:val="76B1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01191F"/>
    <w:pPr>
      <w:keepNext/>
      <w:keepLines/>
      <w:spacing w:before="100" w:beforeAutospacing="1" w:line="360" w:lineRule="auto"/>
      <w:outlineLvl w:val="0"/>
    </w:pPr>
    <w:rPr>
      <w:rFonts w:ascii="黑体-简" w:eastAsia="黑体-简"/>
      <w:bCs/>
      <w:kern w:val="44"/>
      <w:sz w:val="24"/>
      <w:szCs w:val="24"/>
    </w:rPr>
  </w:style>
  <w:style w:type="paragraph" w:styleId="2">
    <w:name w:val="heading 2"/>
    <w:basedOn w:val="a"/>
    <w:next w:val="a"/>
    <w:uiPriority w:val="9"/>
    <w:unhideWhenUsed/>
    <w:qFormat/>
    <w:rsid w:val="0001191F"/>
    <w:pPr>
      <w:keepNext/>
      <w:keepLines/>
      <w:spacing w:line="360" w:lineRule="auto"/>
      <w:outlineLvl w:val="1"/>
    </w:pPr>
    <w:rPr>
      <w:rFonts w:ascii="黒体-簡" w:eastAsia="黒体-簡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119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011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011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1191F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01191F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1191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华艳萍</cp:lastModifiedBy>
  <cp:revision>6</cp:revision>
  <dcterms:created xsi:type="dcterms:W3CDTF">2019-02-25T11:42:00Z</dcterms:created>
  <dcterms:modified xsi:type="dcterms:W3CDTF">2019-09-04T10:35:00Z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