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FE8" w:rsidRDefault="00F440DB" w:rsidP="00CF21E9">
      <w:pPr>
        <w:spacing w:afterLines="100"/>
        <w:jc w:val="center"/>
        <w:rPr>
          <w:rFonts w:ascii="华文中宋" w:eastAsia="华文中宋" w:hAnsi="华文中宋" w:cs="宋体"/>
          <w:color w:val="000000" w:themeColor="text1"/>
          <w:kern w:val="0"/>
          <w:sz w:val="36"/>
          <w:szCs w:val="36"/>
        </w:rPr>
      </w:pPr>
      <w:r>
        <w:rPr>
          <w:rFonts w:ascii="华文中宋" w:eastAsia="华文中宋" w:hAnsi="华文中宋" w:cs="宋体" w:hint="eastAsia"/>
          <w:b/>
          <w:bCs/>
          <w:color w:val="000000" w:themeColor="text1"/>
          <w:kern w:val="0"/>
          <w:sz w:val="44"/>
          <w:szCs w:val="44"/>
        </w:rPr>
        <w:t>场所及设施设备清洗消毒和维护制度</w:t>
      </w:r>
    </w:p>
    <w:p w:rsidR="00E62FE8" w:rsidRDefault="00F440DB">
      <w:pPr>
        <w:widowControl/>
        <w:numPr>
          <w:ilvl w:val="0"/>
          <w:numId w:val="1"/>
        </w:numPr>
        <w:snapToGrid w:val="0"/>
        <w:spacing w:line="500" w:lineRule="exact"/>
        <w:ind w:firstLine="560"/>
        <w:jc w:val="left"/>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t>依据《食品安全法》、《食品经营许可管理办法》、《食品经</w:t>
      </w:r>
      <w:r>
        <w:rPr>
          <w:rFonts w:ascii="仿宋" w:eastAsia="仿宋" w:hAnsi="仿宋" w:cs="仿宋" w:hint="eastAsia"/>
          <w:kern w:val="0"/>
          <w:sz w:val="28"/>
          <w:szCs w:val="28"/>
        </w:rPr>
        <w:t>营许可审查通则</w:t>
      </w:r>
      <w:r>
        <w:rPr>
          <w:rFonts w:ascii="仿宋" w:eastAsia="仿宋" w:hAnsi="仿宋" w:cs="仿宋" w:hint="eastAsia"/>
          <w:color w:val="000000" w:themeColor="text1"/>
          <w:kern w:val="0"/>
          <w:sz w:val="28"/>
          <w:szCs w:val="28"/>
        </w:rPr>
        <w:t>（试行）》、《餐饮服务食品安全监督管理办法》《深圳经济特区食品安全监督条例》等法律法规规定，制订本制度。因存在本项违法行为的，依法承担后果。</w:t>
      </w:r>
    </w:p>
    <w:p w:rsidR="00E62FE8" w:rsidRDefault="00F440DB">
      <w:pPr>
        <w:widowControl/>
        <w:numPr>
          <w:ilvl w:val="0"/>
          <w:numId w:val="1"/>
        </w:numPr>
        <w:snapToGrid w:val="0"/>
        <w:spacing w:line="500" w:lineRule="exact"/>
        <w:ind w:firstLine="562"/>
        <w:jc w:val="left"/>
        <w:rPr>
          <w:rFonts w:ascii="仿宋" w:eastAsia="仿宋" w:hAnsi="仿宋" w:cs="仿宋"/>
          <w:color w:val="000000" w:themeColor="text1"/>
          <w:kern w:val="0"/>
          <w:sz w:val="28"/>
          <w:szCs w:val="28"/>
        </w:rPr>
      </w:pPr>
      <w:r>
        <w:rPr>
          <w:rFonts w:ascii="仿宋" w:eastAsia="仿宋" w:hAnsi="仿宋" w:cs="仿宋" w:hint="eastAsia"/>
          <w:b/>
          <w:bCs/>
          <w:color w:val="000000" w:themeColor="text1"/>
          <w:kern w:val="0"/>
          <w:sz w:val="28"/>
          <w:szCs w:val="28"/>
        </w:rPr>
        <w:t>落实自查：</w:t>
      </w:r>
      <w:r>
        <w:rPr>
          <w:rFonts w:ascii="仿宋" w:eastAsia="仿宋" w:hAnsi="仿宋" w:cs="仿宋" w:hint="eastAsia"/>
          <w:color w:val="000000" w:themeColor="text1"/>
          <w:kern w:val="0"/>
          <w:sz w:val="28"/>
          <w:szCs w:val="28"/>
        </w:rPr>
        <w:t>餐饮服务提供者应依据《食品安全</w:t>
      </w:r>
      <w:r>
        <w:rPr>
          <w:rFonts w:ascii="仿宋" w:eastAsia="仿宋" w:hAnsi="仿宋" w:cs="仿宋" w:hint="eastAsia"/>
          <w:kern w:val="0"/>
          <w:sz w:val="28"/>
          <w:szCs w:val="28"/>
        </w:rPr>
        <w:t>自查与报告制</w:t>
      </w:r>
      <w:r>
        <w:rPr>
          <w:rFonts w:ascii="仿宋" w:eastAsia="仿宋" w:hAnsi="仿宋" w:cs="仿宋" w:hint="eastAsia"/>
          <w:color w:val="000000" w:themeColor="text1"/>
          <w:kern w:val="0"/>
          <w:sz w:val="28"/>
          <w:szCs w:val="28"/>
        </w:rPr>
        <w:t>度》要求，依法定期检查设施设备配置运行和生产经营环境符合相关标准和规范的情况。定期维护食品加工、贮存、陈列、消毒、保洁、保温、冷藏、冷冻等设备与设施，校验计量器具，及时清洁，必要时消毒，确保正常运转和使用。鼓励采用先进设施及“透明厨房”，有助于保持场所卫生、人员管理等。</w:t>
      </w:r>
    </w:p>
    <w:p w:rsidR="00E62FE8" w:rsidRDefault="00B40BCD" w:rsidP="00B40BCD">
      <w:pPr>
        <w:spacing w:line="500" w:lineRule="exact"/>
        <w:ind w:firstLineChars="150" w:firstLine="420"/>
        <w:rPr>
          <w:rFonts w:ascii="仿宋" w:eastAsia="仿宋" w:hAnsi="仿宋" w:cs="仿宋"/>
          <w:color w:val="000000" w:themeColor="text1"/>
          <w:kern w:val="0"/>
          <w:sz w:val="28"/>
          <w:szCs w:val="28"/>
        </w:rPr>
      </w:pPr>
      <w:r w:rsidRPr="00B40BCD">
        <w:rPr>
          <w:rFonts w:ascii="华文中宋" w:eastAsia="华文中宋" w:hAnsi="华文中宋" w:cs="仿宋" w:hint="eastAsia"/>
          <w:b/>
          <w:bCs/>
          <w:color w:val="000000" w:themeColor="text1"/>
          <w:kern w:val="0"/>
          <w:sz w:val="28"/>
          <w:szCs w:val="28"/>
        </w:rPr>
        <w:t>三、</w:t>
      </w:r>
      <w:r w:rsidR="00F440DB">
        <w:rPr>
          <w:rFonts w:ascii="仿宋" w:eastAsia="仿宋" w:hAnsi="仿宋" w:cs="仿宋" w:hint="eastAsia"/>
          <w:b/>
          <w:bCs/>
          <w:color w:val="000000" w:themeColor="text1"/>
          <w:kern w:val="0"/>
          <w:sz w:val="28"/>
          <w:szCs w:val="28"/>
        </w:rPr>
        <w:t>场所设施整体要求：</w:t>
      </w:r>
      <w:r w:rsidR="00F440DB">
        <w:rPr>
          <w:rFonts w:ascii="仿宋" w:eastAsia="仿宋" w:hAnsi="仿宋" w:cs="仿宋" w:hint="eastAsia"/>
          <w:color w:val="000000" w:themeColor="text1"/>
          <w:kern w:val="0"/>
          <w:sz w:val="28"/>
          <w:szCs w:val="28"/>
        </w:rPr>
        <w:t>设置与</w:t>
      </w:r>
      <w:proofErr w:type="gramStart"/>
      <w:r w:rsidR="00F440DB">
        <w:rPr>
          <w:rFonts w:ascii="仿宋" w:eastAsia="仿宋" w:hAnsi="仿宋" w:cs="仿宋" w:hint="eastAsia"/>
          <w:color w:val="000000" w:themeColor="text1"/>
          <w:kern w:val="0"/>
          <w:sz w:val="28"/>
          <w:szCs w:val="28"/>
        </w:rPr>
        <w:t>与</w:t>
      </w:r>
      <w:proofErr w:type="gramEnd"/>
      <w:r w:rsidR="00F440DB">
        <w:rPr>
          <w:rFonts w:ascii="仿宋" w:eastAsia="仿宋" w:hAnsi="仿宋" w:cs="仿宋" w:hint="eastAsia"/>
          <w:color w:val="000000" w:themeColor="text1"/>
          <w:kern w:val="0"/>
          <w:sz w:val="28"/>
          <w:szCs w:val="28"/>
        </w:rPr>
        <w:t>本单位经营的食品品种、数量相适应的场所、设备或者设施，有相应的清洗、加工、贮存、陈列、通风、排烟、照明等设施或场所，冷藏、热保存设施数量或大小能满足生熟分开存放，</w:t>
      </w:r>
      <w:r w:rsidR="00F440DB">
        <w:rPr>
          <w:rFonts w:ascii="仿宋" w:eastAsia="仿宋" w:hAnsi="仿宋" w:cs="仿宋" w:hint="eastAsia"/>
          <w:color w:val="000000" w:themeColor="text1"/>
          <w:sz w:val="28"/>
          <w:szCs w:val="28"/>
        </w:rPr>
        <w:t>布局流程</w:t>
      </w:r>
      <w:proofErr w:type="gramStart"/>
      <w:r w:rsidR="00F440DB">
        <w:rPr>
          <w:rFonts w:ascii="仿宋" w:eastAsia="仿宋" w:hAnsi="仿宋" w:cs="仿宋" w:hint="eastAsia"/>
          <w:color w:val="000000" w:themeColor="text1"/>
          <w:sz w:val="28"/>
          <w:szCs w:val="28"/>
        </w:rPr>
        <w:t>合理能</w:t>
      </w:r>
      <w:proofErr w:type="gramEnd"/>
      <w:r w:rsidR="00F440DB">
        <w:rPr>
          <w:rFonts w:ascii="仿宋" w:eastAsia="仿宋" w:hAnsi="仿宋" w:cs="仿宋" w:hint="eastAsia"/>
          <w:color w:val="000000" w:themeColor="text1"/>
          <w:sz w:val="28"/>
          <w:szCs w:val="28"/>
        </w:rPr>
        <w:t>防止交叉污染，主要设施宜采用不锈钢，易于维修和清洁。垃圾筒首选自动密闭型（免手动）。</w:t>
      </w:r>
      <w:r w:rsidR="00F440DB">
        <w:rPr>
          <w:rFonts w:ascii="仿宋" w:eastAsia="仿宋" w:hAnsi="仿宋" w:cs="仿宋" w:hint="eastAsia"/>
          <w:color w:val="000000" w:themeColor="text1"/>
          <w:kern w:val="0"/>
          <w:sz w:val="28"/>
          <w:szCs w:val="28"/>
        </w:rPr>
        <w:t>具体应符合许可审查标准，并可参照《餐饮服务食品安全操作规范》、</w:t>
      </w:r>
      <w:r w:rsidR="00F440DB">
        <w:rPr>
          <w:rFonts w:ascii="仿宋" w:eastAsia="仿宋" w:hAnsi="仿宋" w:cs="仿宋" w:hint="eastAsia"/>
          <w:color w:val="000000" w:themeColor="text1"/>
          <w:sz w:val="28"/>
          <w:szCs w:val="28"/>
        </w:rPr>
        <w:t>《深圳市（A级）餐饮单位建设标准（2019版）》等</w:t>
      </w:r>
      <w:r w:rsidR="00F440DB">
        <w:rPr>
          <w:rFonts w:ascii="仿宋" w:eastAsia="仿宋" w:hAnsi="仿宋" w:cs="仿宋" w:hint="eastAsia"/>
          <w:color w:val="000000" w:themeColor="text1"/>
          <w:kern w:val="0"/>
          <w:sz w:val="28"/>
          <w:szCs w:val="28"/>
        </w:rPr>
        <w:t>相关具体指引。</w:t>
      </w:r>
    </w:p>
    <w:p w:rsidR="00E62FE8" w:rsidRDefault="00B40BCD" w:rsidP="00B40BCD">
      <w:pPr>
        <w:widowControl/>
        <w:snapToGrid w:val="0"/>
        <w:spacing w:line="500" w:lineRule="exact"/>
        <w:ind w:firstLineChars="200" w:firstLine="561"/>
        <w:jc w:val="left"/>
        <w:rPr>
          <w:rFonts w:ascii="仿宋" w:eastAsia="仿宋" w:hAnsi="仿宋" w:cs="仿宋"/>
          <w:color w:val="000000" w:themeColor="text1"/>
          <w:kern w:val="0"/>
          <w:sz w:val="28"/>
          <w:szCs w:val="28"/>
        </w:rPr>
      </w:pPr>
      <w:r w:rsidRPr="00B40BCD">
        <w:rPr>
          <w:rFonts w:ascii="华文中宋" w:eastAsia="华文中宋" w:hAnsi="华文中宋" w:cs="仿宋" w:hint="eastAsia"/>
          <w:b/>
          <w:bCs/>
          <w:color w:val="000000" w:themeColor="text1"/>
          <w:kern w:val="0"/>
          <w:sz w:val="28"/>
          <w:szCs w:val="28"/>
        </w:rPr>
        <w:t>四、</w:t>
      </w:r>
      <w:r w:rsidR="00F440DB">
        <w:rPr>
          <w:rFonts w:ascii="仿宋" w:eastAsia="仿宋" w:hAnsi="仿宋" w:cs="仿宋" w:hint="eastAsia"/>
          <w:b/>
          <w:bCs/>
          <w:color w:val="000000" w:themeColor="text1"/>
          <w:kern w:val="0"/>
          <w:sz w:val="28"/>
          <w:szCs w:val="28"/>
        </w:rPr>
        <w:t>分类标识：</w:t>
      </w:r>
      <w:r w:rsidR="00F440DB">
        <w:rPr>
          <w:rFonts w:ascii="仿宋" w:eastAsia="仿宋" w:hAnsi="仿宋" w:cs="仿宋" w:hint="eastAsia"/>
          <w:color w:val="000000" w:themeColor="text1"/>
          <w:kern w:val="0"/>
          <w:sz w:val="28"/>
          <w:szCs w:val="28"/>
        </w:rPr>
        <w:t>设有盛放原料、半成品、成品的容器和工用具、设备，应采用不同颜色、形状、材质或标牌进行标识、分类管理，并做到定位存放、分开使用。粗加工操作场所应根据加工品种和规模设置动物性、植物性、水产品三类食品原料能分开用的清洗池，并以明显标识标明其用途。</w:t>
      </w:r>
      <w:r w:rsidR="00F440DB">
        <w:rPr>
          <w:rFonts w:ascii="仿宋" w:eastAsia="仿宋" w:hAnsi="仿宋" w:cs="仿宋" w:hint="eastAsia"/>
          <w:color w:val="000000" w:themeColor="text1"/>
          <w:sz w:val="28"/>
          <w:szCs w:val="28"/>
        </w:rPr>
        <w:t>食品冷藏或冷冻设备</w:t>
      </w:r>
      <w:r w:rsidR="00F440DB">
        <w:rPr>
          <w:rFonts w:ascii="仿宋" w:eastAsia="仿宋" w:hAnsi="仿宋" w:cs="仿宋" w:hint="eastAsia"/>
          <w:bCs/>
          <w:color w:val="000000" w:themeColor="text1"/>
          <w:sz w:val="28"/>
          <w:szCs w:val="28"/>
        </w:rPr>
        <w:t>须有明显标志（原料、半成品、成品、留样等，或结合细分为菜类、肉类、水产品等）</w:t>
      </w:r>
    </w:p>
    <w:p w:rsidR="00E62FE8" w:rsidRDefault="00B40BCD" w:rsidP="00B40BCD">
      <w:pPr>
        <w:widowControl/>
        <w:snapToGrid w:val="0"/>
        <w:spacing w:line="500" w:lineRule="exact"/>
        <w:ind w:firstLineChars="200" w:firstLine="561"/>
        <w:jc w:val="left"/>
        <w:rPr>
          <w:rFonts w:ascii="仿宋" w:eastAsia="仿宋" w:hAnsi="仿宋" w:cs="仿宋"/>
          <w:color w:val="000000" w:themeColor="text1"/>
          <w:kern w:val="0"/>
          <w:sz w:val="28"/>
          <w:szCs w:val="28"/>
        </w:rPr>
      </w:pPr>
      <w:r w:rsidRPr="00B40BCD">
        <w:rPr>
          <w:rFonts w:ascii="华文中宋" w:eastAsia="华文中宋" w:hAnsi="华文中宋" w:cs="仿宋" w:hint="eastAsia"/>
          <w:b/>
          <w:bCs/>
          <w:color w:val="000000" w:themeColor="text1"/>
          <w:kern w:val="0"/>
          <w:sz w:val="28"/>
          <w:szCs w:val="28"/>
        </w:rPr>
        <w:t>五、</w:t>
      </w:r>
      <w:r w:rsidR="00F440DB">
        <w:rPr>
          <w:rFonts w:ascii="仿宋" w:eastAsia="仿宋" w:hAnsi="仿宋" w:cs="仿宋" w:hint="eastAsia"/>
          <w:b/>
          <w:bCs/>
          <w:color w:val="000000" w:themeColor="text1"/>
          <w:kern w:val="0"/>
          <w:sz w:val="28"/>
          <w:szCs w:val="28"/>
        </w:rPr>
        <w:t>必要的员工洗手设施：</w:t>
      </w:r>
      <w:r w:rsidR="00F440DB">
        <w:rPr>
          <w:rFonts w:ascii="仿宋" w:eastAsia="仿宋" w:hAnsi="仿宋" w:cs="仿宋" w:hint="eastAsia"/>
          <w:color w:val="000000" w:themeColor="text1"/>
          <w:kern w:val="0"/>
          <w:sz w:val="28"/>
          <w:szCs w:val="28"/>
        </w:rPr>
        <w:t>食品处理区内应当设置足够数量的洗手设施（含清洗、消毒、洗手、干</w:t>
      </w:r>
      <w:proofErr w:type="gramStart"/>
      <w:r w:rsidR="00F440DB">
        <w:rPr>
          <w:rFonts w:ascii="仿宋" w:eastAsia="仿宋" w:hAnsi="仿宋" w:cs="仿宋" w:hint="eastAsia"/>
          <w:color w:val="000000" w:themeColor="text1"/>
          <w:kern w:val="0"/>
          <w:sz w:val="28"/>
          <w:szCs w:val="28"/>
        </w:rPr>
        <w:t>手设施</w:t>
      </w:r>
      <w:proofErr w:type="gramEnd"/>
      <w:r w:rsidR="00F440DB">
        <w:rPr>
          <w:rFonts w:ascii="仿宋" w:eastAsia="仿宋" w:hAnsi="仿宋" w:cs="仿宋" w:hint="eastAsia"/>
          <w:color w:val="000000" w:themeColor="text1"/>
          <w:kern w:val="0"/>
          <w:sz w:val="28"/>
          <w:szCs w:val="28"/>
        </w:rPr>
        <w:t>和用品），附近应当有洗手</w:t>
      </w:r>
      <w:r w:rsidR="00F440DB">
        <w:rPr>
          <w:rFonts w:ascii="仿宋" w:eastAsia="仿宋" w:hAnsi="仿宋" w:cs="仿宋" w:hint="eastAsia"/>
          <w:color w:val="000000" w:themeColor="text1"/>
          <w:kern w:val="0"/>
          <w:sz w:val="28"/>
          <w:szCs w:val="28"/>
        </w:rPr>
        <w:lastRenderedPageBreak/>
        <w:t>消毒方法标识，设置的位置应能方便员工就近使用。</w:t>
      </w:r>
      <w:r w:rsidR="00F440DB">
        <w:rPr>
          <w:rFonts w:ascii="仿宋" w:eastAsia="仿宋" w:hAnsi="仿宋" w:cs="仿宋" w:hint="eastAsia"/>
          <w:color w:val="000000" w:themeColor="text1"/>
          <w:sz w:val="28"/>
          <w:szCs w:val="28"/>
        </w:rPr>
        <w:t>宜采用脚踏式、</w:t>
      </w:r>
      <w:proofErr w:type="gramStart"/>
      <w:r w:rsidR="00F440DB">
        <w:rPr>
          <w:rFonts w:ascii="仿宋" w:eastAsia="仿宋" w:hAnsi="仿宋" w:cs="仿宋" w:hint="eastAsia"/>
          <w:color w:val="000000" w:themeColor="text1"/>
          <w:sz w:val="28"/>
          <w:szCs w:val="28"/>
        </w:rPr>
        <w:t>肘动式</w:t>
      </w:r>
      <w:proofErr w:type="gramEnd"/>
      <w:r w:rsidR="00F440DB">
        <w:rPr>
          <w:rFonts w:ascii="仿宋" w:eastAsia="仿宋" w:hAnsi="仿宋" w:cs="仿宋" w:hint="eastAsia"/>
          <w:color w:val="000000" w:themeColor="text1"/>
          <w:sz w:val="28"/>
          <w:szCs w:val="28"/>
        </w:rPr>
        <w:t>或感应式等非手动式开关或可自动关闭的开关，宜提供温水。</w:t>
      </w:r>
    </w:p>
    <w:p w:rsidR="00CF21E9" w:rsidRDefault="00B40BCD" w:rsidP="00CF21E9">
      <w:pPr>
        <w:widowControl/>
        <w:snapToGrid w:val="0"/>
        <w:spacing w:line="500" w:lineRule="exact"/>
        <w:ind w:firstLineChars="200" w:firstLine="561"/>
        <w:jc w:val="left"/>
        <w:rPr>
          <w:rFonts w:ascii="仿宋" w:eastAsia="仿宋" w:hAnsi="仿宋" w:cs="仿宋" w:hint="eastAsia"/>
          <w:color w:val="000000" w:themeColor="text1"/>
          <w:kern w:val="0"/>
          <w:sz w:val="28"/>
          <w:szCs w:val="28"/>
        </w:rPr>
      </w:pPr>
      <w:r w:rsidRPr="00B40BCD">
        <w:rPr>
          <w:rFonts w:ascii="华文中宋" w:eastAsia="华文中宋" w:hAnsi="华文中宋" w:cs="仿宋" w:hint="eastAsia"/>
          <w:b/>
          <w:bCs/>
          <w:color w:val="000000" w:themeColor="text1"/>
          <w:sz w:val="28"/>
          <w:szCs w:val="28"/>
        </w:rPr>
        <w:t>六、</w:t>
      </w:r>
      <w:proofErr w:type="gramStart"/>
      <w:r w:rsidR="00F440DB">
        <w:rPr>
          <w:rFonts w:ascii="仿宋" w:eastAsia="仿宋" w:hAnsi="仿宋" w:cs="仿宋" w:hint="eastAsia"/>
          <w:b/>
          <w:bCs/>
          <w:color w:val="000000" w:themeColor="text1"/>
          <w:sz w:val="28"/>
          <w:szCs w:val="28"/>
        </w:rPr>
        <w:t>餐饮具洗消</w:t>
      </w:r>
      <w:proofErr w:type="gramEnd"/>
      <w:r w:rsidR="00F440DB">
        <w:rPr>
          <w:rFonts w:ascii="仿宋" w:eastAsia="仿宋" w:hAnsi="仿宋" w:cs="仿宋" w:hint="eastAsia"/>
          <w:b/>
          <w:bCs/>
          <w:color w:val="000000" w:themeColor="text1"/>
          <w:sz w:val="28"/>
          <w:szCs w:val="28"/>
        </w:rPr>
        <w:t>设施：</w:t>
      </w:r>
      <w:r w:rsidR="00F440DB">
        <w:rPr>
          <w:rFonts w:ascii="仿宋" w:eastAsia="仿宋" w:hAnsi="仿宋" w:cs="仿宋" w:hint="eastAsia"/>
          <w:color w:val="000000" w:themeColor="text1"/>
          <w:sz w:val="28"/>
          <w:szCs w:val="28"/>
        </w:rPr>
        <w:t>应配备相适应数量的</w:t>
      </w:r>
      <w:r w:rsidR="00F440DB">
        <w:rPr>
          <w:rFonts w:ascii="仿宋" w:eastAsia="仿宋" w:hAnsi="仿宋" w:cs="仿宋" w:hint="eastAsia"/>
          <w:color w:val="000000" w:themeColor="text1"/>
          <w:kern w:val="0"/>
          <w:sz w:val="28"/>
          <w:szCs w:val="28"/>
        </w:rPr>
        <w:t>餐饮具清洗和消毒设施，采用化学消毒的，至少有3个专用水池。采用人工清洗热力消毒的，可设置２个专用水池。学校食堂、大型餐馆和用餐配送单位的餐饮具应采用热力消毒（因材质等原因无法采用的除外）。消毒后的餐饮具应符合GB 14934《食品安全国家标准 消毒餐（饮）具》的规定，并定位存放在专用的密闭保洁设施（</w:t>
      </w:r>
      <w:proofErr w:type="gramStart"/>
      <w:r w:rsidR="00F440DB">
        <w:rPr>
          <w:rFonts w:ascii="仿宋" w:eastAsia="仿宋" w:hAnsi="仿宋" w:cs="仿宋" w:hint="eastAsia"/>
          <w:color w:val="000000" w:themeColor="text1"/>
          <w:kern w:val="0"/>
          <w:sz w:val="28"/>
          <w:szCs w:val="28"/>
        </w:rPr>
        <w:t>消毒柜可同时</w:t>
      </w:r>
      <w:proofErr w:type="gramEnd"/>
      <w:r w:rsidR="00F440DB">
        <w:rPr>
          <w:rFonts w:ascii="仿宋" w:eastAsia="仿宋" w:hAnsi="仿宋" w:cs="仿宋" w:hint="eastAsia"/>
          <w:color w:val="000000" w:themeColor="text1"/>
          <w:kern w:val="0"/>
          <w:sz w:val="28"/>
          <w:szCs w:val="28"/>
        </w:rPr>
        <w:t>兼用保洁柜的情形除外），保持清洁，标识明显。使用一次性餐饮具的，设施可减少，但也应有保洁存放，不得受到污染。</w:t>
      </w:r>
      <w:proofErr w:type="gramStart"/>
      <w:r w:rsidR="00F440DB">
        <w:rPr>
          <w:rFonts w:ascii="仿宋" w:eastAsia="仿宋" w:hAnsi="仿宋" w:cs="仿宋" w:hint="eastAsia"/>
          <w:color w:val="000000" w:themeColor="text1"/>
          <w:kern w:val="0"/>
          <w:sz w:val="28"/>
          <w:szCs w:val="28"/>
        </w:rPr>
        <w:t>保洁柜宜有</w:t>
      </w:r>
      <w:proofErr w:type="gramEnd"/>
      <w:r w:rsidR="00F440DB">
        <w:rPr>
          <w:rFonts w:ascii="仿宋" w:eastAsia="仿宋" w:hAnsi="仿宋" w:cs="仿宋" w:hint="eastAsia"/>
          <w:color w:val="000000" w:themeColor="text1"/>
          <w:kern w:val="0"/>
          <w:sz w:val="28"/>
          <w:szCs w:val="28"/>
        </w:rPr>
        <w:t>前置沥水设施或保洁柜设有沥水功能，以便于消毒后的</w:t>
      </w:r>
      <w:proofErr w:type="gramStart"/>
      <w:r w:rsidR="00F440DB">
        <w:rPr>
          <w:rFonts w:ascii="仿宋" w:eastAsia="仿宋" w:hAnsi="仿宋" w:cs="仿宋" w:hint="eastAsia"/>
          <w:color w:val="000000" w:themeColor="text1"/>
          <w:kern w:val="0"/>
          <w:sz w:val="28"/>
          <w:szCs w:val="28"/>
        </w:rPr>
        <w:t>餐饮具能保持</w:t>
      </w:r>
      <w:proofErr w:type="gramEnd"/>
      <w:r w:rsidR="00F440DB">
        <w:rPr>
          <w:rFonts w:ascii="仿宋" w:eastAsia="仿宋" w:hAnsi="仿宋" w:cs="仿宋" w:hint="eastAsia"/>
          <w:color w:val="000000" w:themeColor="text1"/>
          <w:kern w:val="0"/>
          <w:sz w:val="28"/>
          <w:szCs w:val="28"/>
        </w:rPr>
        <w:t>干燥存放。</w:t>
      </w:r>
    </w:p>
    <w:p w:rsidR="00CF21E9" w:rsidRPr="00CF21E9" w:rsidRDefault="00CF21E9" w:rsidP="00CF21E9">
      <w:pPr>
        <w:widowControl/>
        <w:snapToGrid w:val="0"/>
        <w:spacing w:line="500" w:lineRule="exact"/>
        <w:ind w:firstLineChars="200" w:firstLine="560"/>
        <w:jc w:val="left"/>
        <w:rPr>
          <w:rFonts w:ascii="仿宋" w:eastAsia="仿宋" w:hAnsi="仿宋" w:cs="仿宋"/>
          <w:color w:val="000000" w:themeColor="text1"/>
          <w:kern w:val="0"/>
          <w:sz w:val="28"/>
          <w:szCs w:val="28"/>
        </w:rPr>
      </w:pPr>
      <w:r w:rsidRPr="00CF21E9">
        <w:rPr>
          <w:rFonts w:ascii="仿宋" w:eastAsia="仿宋" w:hAnsi="仿宋" w:cs="仿宋" w:hint="eastAsia"/>
          <w:color w:val="000000" w:themeColor="text1"/>
          <w:kern w:val="0"/>
          <w:sz w:val="28"/>
          <w:szCs w:val="28"/>
        </w:rPr>
        <w:t>具体要求见《餐饮服务食品安全操作规范》之《推荐的餐用具清洗消毒方法》</w:t>
      </w:r>
      <w:r>
        <w:rPr>
          <w:rFonts w:ascii="仿宋" w:eastAsia="仿宋" w:hAnsi="仿宋" w:cs="仿宋" w:hint="eastAsia"/>
          <w:color w:val="000000" w:themeColor="text1"/>
          <w:kern w:val="0"/>
          <w:sz w:val="28"/>
          <w:szCs w:val="28"/>
        </w:rPr>
        <w:t>或深圳局</w:t>
      </w:r>
      <w:r w:rsidRPr="00CF21E9">
        <w:rPr>
          <w:rFonts w:ascii="仿宋" w:eastAsia="仿宋" w:hAnsi="仿宋" w:cs="仿宋" w:hint="eastAsia"/>
          <w:color w:val="000000" w:themeColor="text1"/>
          <w:kern w:val="0"/>
          <w:sz w:val="28"/>
          <w:szCs w:val="28"/>
        </w:rPr>
        <w:t>《餐饮具清洗消毒保洁方法》和</w:t>
      </w:r>
      <w:r>
        <w:rPr>
          <w:rFonts w:ascii="仿宋" w:eastAsia="仿宋" w:hAnsi="仿宋" w:cs="仿宋" w:hint="eastAsia"/>
          <w:color w:val="000000" w:themeColor="text1"/>
          <w:kern w:val="0"/>
          <w:sz w:val="28"/>
          <w:szCs w:val="28"/>
        </w:rPr>
        <w:t>《</w:t>
      </w:r>
      <w:r w:rsidRPr="00CF21E9">
        <w:rPr>
          <w:rFonts w:ascii="仿宋" w:eastAsia="仿宋" w:hAnsi="仿宋" w:cs="仿宋" w:hint="eastAsia"/>
          <w:color w:val="000000" w:themeColor="text1"/>
          <w:kern w:val="0"/>
          <w:sz w:val="28"/>
          <w:szCs w:val="28"/>
        </w:rPr>
        <w:t>餐饮具消毒保洁记录表</w:t>
      </w:r>
      <w:r>
        <w:rPr>
          <w:rFonts w:ascii="仿宋" w:eastAsia="仿宋" w:hAnsi="仿宋" w:cs="仿宋" w:hint="eastAsia"/>
          <w:color w:val="000000" w:themeColor="text1"/>
          <w:kern w:val="0"/>
          <w:sz w:val="28"/>
          <w:szCs w:val="28"/>
        </w:rPr>
        <w:t>》模版。</w:t>
      </w:r>
    </w:p>
    <w:p w:rsidR="00E62FE8" w:rsidRDefault="00B40BCD" w:rsidP="00B40BCD">
      <w:pPr>
        <w:overflowPunct w:val="0"/>
        <w:spacing w:line="500" w:lineRule="exact"/>
        <w:ind w:firstLineChars="200" w:firstLine="561"/>
        <w:rPr>
          <w:rFonts w:ascii="仿宋" w:eastAsia="仿宋" w:hAnsi="仿宋" w:cs="仿宋"/>
          <w:color w:val="000000" w:themeColor="text1"/>
          <w:kern w:val="0"/>
          <w:sz w:val="28"/>
          <w:szCs w:val="28"/>
        </w:rPr>
      </w:pPr>
      <w:r>
        <w:rPr>
          <w:rFonts w:ascii="华文中宋" w:eastAsia="华文中宋" w:hAnsi="华文中宋" w:cs="仿宋" w:hint="eastAsia"/>
          <w:b/>
          <w:bCs/>
          <w:color w:val="000000" w:themeColor="text1"/>
          <w:sz w:val="28"/>
          <w:szCs w:val="28"/>
        </w:rPr>
        <w:t>七</w:t>
      </w:r>
      <w:r w:rsidR="00F440DB">
        <w:rPr>
          <w:rFonts w:ascii="仿宋" w:eastAsia="仿宋" w:hAnsi="仿宋" w:cs="仿宋" w:hint="eastAsia"/>
          <w:b/>
          <w:bCs/>
          <w:color w:val="000000" w:themeColor="text1"/>
          <w:sz w:val="28"/>
          <w:szCs w:val="28"/>
        </w:rPr>
        <w:t>、应有</w:t>
      </w:r>
      <w:proofErr w:type="gramStart"/>
      <w:r w:rsidR="00F440DB">
        <w:rPr>
          <w:rFonts w:ascii="仿宋" w:eastAsia="仿宋" w:hAnsi="仿宋" w:cs="仿宋" w:hint="eastAsia"/>
          <w:b/>
          <w:bCs/>
          <w:color w:val="000000" w:themeColor="text1"/>
          <w:sz w:val="28"/>
          <w:szCs w:val="28"/>
        </w:rPr>
        <w:t>效</w:t>
      </w:r>
      <w:proofErr w:type="gramEnd"/>
      <w:r w:rsidR="00F440DB">
        <w:rPr>
          <w:rFonts w:ascii="仿宋" w:eastAsia="仿宋" w:hAnsi="仿宋" w:cs="仿宋" w:hint="eastAsia"/>
          <w:b/>
          <w:bCs/>
          <w:color w:val="000000" w:themeColor="text1"/>
          <w:sz w:val="28"/>
          <w:szCs w:val="28"/>
        </w:rPr>
        <w:t>消除老鼠、蟑螂、苍蝇及其他有害昆虫及其孳生条件。一方面是</w:t>
      </w:r>
      <w:r w:rsidR="00F440DB">
        <w:rPr>
          <w:rFonts w:ascii="仿宋" w:eastAsia="仿宋" w:hAnsi="仿宋" w:cs="仿宋" w:hint="eastAsia"/>
          <w:color w:val="000000" w:themeColor="text1"/>
          <w:sz w:val="28"/>
          <w:szCs w:val="28"/>
        </w:rPr>
        <w:t>要设置严密的“三防设施”，在加工和用餐场所（所有出入口），设置纱门、纱窗、门帘或空气幕，如是木门下端设金属防鼠板，排水沟、排气、排油烟</w:t>
      </w:r>
      <w:r w:rsidR="00F440DB">
        <w:rPr>
          <w:rFonts w:ascii="仿宋" w:eastAsia="仿宋" w:hAnsi="仿宋" w:cs="仿宋" w:hint="eastAsia"/>
          <w:color w:val="000000" w:themeColor="text1"/>
          <w:kern w:val="0"/>
          <w:sz w:val="28"/>
          <w:szCs w:val="28"/>
        </w:rPr>
        <w:t>出口安装的篦子宜使用金属材料制成，篦子缝隙间距或网眼应小于10mm。与外界直接相通的通风口、换气窗外，应加装不小于16目的防虫筛网。灭蝇</w:t>
      </w:r>
      <w:proofErr w:type="gramStart"/>
      <w:r w:rsidR="00F440DB">
        <w:rPr>
          <w:rFonts w:ascii="仿宋" w:eastAsia="仿宋" w:hAnsi="仿宋" w:cs="仿宋" w:hint="eastAsia"/>
          <w:color w:val="000000" w:themeColor="text1"/>
          <w:kern w:val="0"/>
          <w:sz w:val="28"/>
          <w:szCs w:val="28"/>
        </w:rPr>
        <w:t>灯不得</w:t>
      </w:r>
      <w:proofErr w:type="gramEnd"/>
      <w:r w:rsidR="00F440DB">
        <w:rPr>
          <w:rFonts w:ascii="仿宋" w:eastAsia="仿宋" w:hAnsi="仿宋" w:cs="仿宋" w:hint="eastAsia"/>
          <w:color w:val="000000" w:themeColor="text1"/>
          <w:kern w:val="0"/>
          <w:sz w:val="28"/>
          <w:szCs w:val="28"/>
        </w:rPr>
        <w:t>悬挂在食品加工制作或贮存区域的上方，具体依据《餐饮服务食品安全操作规范》12的有关指引。</w:t>
      </w:r>
      <w:r w:rsidR="00F440DB">
        <w:rPr>
          <w:rFonts w:ascii="仿宋" w:eastAsia="仿宋" w:hAnsi="仿宋" w:cs="仿宋" w:hint="eastAsia"/>
          <w:b/>
          <w:bCs/>
          <w:color w:val="000000" w:themeColor="text1"/>
          <w:kern w:val="0"/>
          <w:sz w:val="28"/>
          <w:szCs w:val="28"/>
        </w:rPr>
        <w:t>二是</w:t>
      </w:r>
      <w:r w:rsidR="00F440DB">
        <w:rPr>
          <w:rFonts w:ascii="仿宋" w:eastAsia="仿宋" w:hAnsi="仿宋" w:cs="仿宋" w:hint="eastAsia"/>
          <w:color w:val="000000" w:themeColor="text1"/>
          <w:kern w:val="0"/>
          <w:sz w:val="28"/>
          <w:szCs w:val="28"/>
        </w:rPr>
        <w:t>宜定期集中“消杀”，委托专业机构协同采取最有效的防范措施，并保留好有关记录，以备检查。</w:t>
      </w:r>
    </w:p>
    <w:p w:rsidR="00E62FE8" w:rsidRDefault="00B40BCD" w:rsidP="00B40BCD">
      <w:pPr>
        <w:widowControl/>
        <w:snapToGrid w:val="0"/>
        <w:spacing w:line="500" w:lineRule="exact"/>
        <w:ind w:firstLineChars="200" w:firstLine="561"/>
        <w:jc w:val="left"/>
        <w:rPr>
          <w:rFonts w:ascii="仿宋" w:eastAsia="仿宋" w:hAnsi="仿宋" w:cs="仿宋"/>
          <w:color w:val="000000" w:themeColor="text1"/>
          <w:kern w:val="0"/>
          <w:sz w:val="28"/>
          <w:szCs w:val="28"/>
        </w:rPr>
      </w:pPr>
      <w:r w:rsidRPr="00B40BCD">
        <w:rPr>
          <w:rFonts w:ascii="华文中宋" w:eastAsia="华文中宋" w:hAnsi="华文中宋" w:cs="仿宋" w:hint="eastAsia"/>
          <w:b/>
          <w:bCs/>
          <w:color w:val="000000" w:themeColor="text1"/>
          <w:sz w:val="28"/>
          <w:szCs w:val="28"/>
        </w:rPr>
        <w:t>八</w:t>
      </w:r>
      <w:r w:rsidR="00F440DB">
        <w:rPr>
          <w:rFonts w:ascii="仿宋" w:eastAsia="仿宋" w:hAnsi="仿宋" w:cs="仿宋" w:hint="eastAsia"/>
          <w:b/>
          <w:bCs/>
          <w:color w:val="000000" w:themeColor="text1"/>
          <w:sz w:val="28"/>
          <w:szCs w:val="28"/>
        </w:rPr>
        <w:t>、直接接触食品的容器、工具</w:t>
      </w:r>
      <w:r w:rsidR="00F440DB">
        <w:rPr>
          <w:rFonts w:ascii="仿宋" w:eastAsia="仿宋" w:hAnsi="仿宋" w:cs="仿宋" w:hint="eastAsia"/>
          <w:b/>
          <w:bCs/>
          <w:color w:val="000000" w:themeColor="text1"/>
          <w:kern w:val="0"/>
          <w:sz w:val="28"/>
          <w:szCs w:val="28"/>
        </w:rPr>
        <w:t>、设备</w:t>
      </w:r>
      <w:r w:rsidR="00F440DB">
        <w:rPr>
          <w:rFonts w:ascii="仿宋" w:eastAsia="仿宋" w:hAnsi="仿宋" w:cs="仿宋" w:hint="eastAsia"/>
          <w:b/>
          <w:bCs/>
          <w:color w:val="000000" w:themeColor="text1"/>
          <w:sz w:val="28"/>
          <w:szCs w:val="28"/>
        </w:rPr>
        <w:t>和包装材料</w:t>
      </w:r>
      <w:r w:rsidR="00F440DB">
        <w:rPr>
          <w:rFonts w:ascii="仿宋" w:eastAsia="仿宋" w:hAnsi="仿宋" w:cs="仿宋" w:hint="eastAsia"/>
          <w:color w:val="000000" w:themeColor="text1"/>
          <w:sz w:val="28"/>
          <w:szCs w:val="28"/>
        </w:rPr>
        <w:t>：应安全、无害，</w:t>
      </w:r>
      <w:r w:rsidR="00F440DB">
        <w:rPr>
          <w:rFonts w:ascii="仿宋" w:eastAsia="仿宋" w:hAnsi="仿宋" w:cs="仿宋" w:hint="eastAsia"/>
          <w:color w:val="000000" w:themeColor="text1"/>
          <w:kern w:val="0"/>
          <w:sz w:val="28"/>
          <w:szCs w:val="28"/>
        </w:rPr>
        <w:t>无异味、耐腐蚀、不易发霉、符合相关食品安全标准。食品接触面原则上不使用木质材料（工艺要求必须使用除外），必须使用木质材料的工具，应定期进行清理表面</w:t>
      </w:r>
      <w:r w:rsidR="00F440DB">
        <w:rPr>
          <w:rFonts w:ascii="仿宋" w:eastAsia="仿宋" w:hAnsi="仿宋" w:cs="仿宋" w:hint="eastAsia"/>
          <w:kern w:val="0"/>
          <w:sz w:val="28"/>
          <w:szCs w:val="28"/>
        </w:rPr>
        <w:t>“有凹陷、有裂缝”等问题，保证</w:t>
      </w:r>
      <w:r w:rsidR="00F440DB">
        <w:rPr>
          <w:rFonts w:ascii="仿宋" w:eastAsia="仿宋" w:hAnsi="仿宋" w:cs="仿宋" w:hint="eastAsia"/>
          <w:kern w:val="0"/>
          <w:sz w:val="28"/>
          <w:szCs w:val="28"/>
        </w:rPr>
        <w:lastRenderedPageBreak/>
        <w:t>不会对食品产生污染。添加邻苯二甲酸酯类物质</w:t>
      </w:r>
      <w:r w:rsidR="00F440DB">
        <w:rPr>
          <w:rFonts w:ascii="仿宋" w:eastAsia="仿宋" w:hAnsi="仿宋" w:cs="仿宋" w:hint="eastAsia"/>
          <w:color w:val="000000" w:themeColor="text1"/>
          <w:kern w:val="0"/>
          <w:sz w:val="28"/>
          <w:szCs w:val="28"/>
        </w:rPr>
        <w:t>制成的塑料制品不得盛装、接触油脂类食品和乙醇含量高于20%的食品。不得重复使用一次性餐饮具。</w:t>
      </w:r>
    </w:p>
    <w:p w:rsidR="00E62FE8" w:rsidRDefault="00B40BCD" w:rsidP="00B40BCD">
      <w:pPr>
        <w:widowControl/>
        <w:snapToGrid w:val="0"/>
        <w:spacing w:line="500" w:lineRule="exact"/>
        <w:ind w:firstLineChars="200" w:firstLine="561"/>
        <w:jc w:val="left"/>
        <w:rPr>
          <w:rFonts w:ascii="仿宋" w:eastAsia="仿宋" w:hAnsi="仿宋" w:cs="仿宋"/>
          <w:color w:val="000000" w:themeColor="text1"/>
          <w:kern w:val="0"/>
          <w:sz w:val="28"/>
          <w:szCs w:val="28"/>
        </w:rPr>
      </w:pPr>
      <w:r w:rsidRPr="00B40BCD">
        <w:rPr>
          <w:rFonts w:ascii="华文中宋" w:eastAsia="华文中宋" w:hAnsi="华文中宋" w:cs="仿宋" w:hint="eastAsia"/>
          <w:b/>
          <w:bCs/>
          <w:color w:val="000000" w:themeColor="text1"/>
          <w:kern w:val="0"/>
          <w:sz w:val="28"/>
          <w:szCs w:val="28"/>
        </w:rPr>
        <w:t>九、</w:t>
      </w:r>
      <w:r w:rsidR="00F440DB">
        <w:rPr>
          <w:rFonts w:ascii="仿宋" w:eastAsia="仿宋" w:hAnsi="仿宋" w:cs="仿宋" w:hint="eastAsia"/>
          <w:b/>
          <w:bCs/>
          <w:color w:val="000000" w:themeColor="text1"/>
          <w:kern w:val="0"/>
          <w:sz w:val="28"/>
          <w:szCs w:val="28"/>
        </w:rPr>
        <w:t>排风抽湿设施：</w:t>
      </w:r>
      <w:r w:rsidR="00F440DB">
        <w:rPr>
          <w:rFonts w:ascii="仿宋" w:eastAsia="仿宋" w:hAnsi="仿宋" w:cs="仿宋" w:hint="eastAsia"/>
          <w:color w:val="000000" w:themeColor="text1"/>
          <w:kern w:val="0"/>
          <w:sz w:val="28"/>
          <w:szCs w:val="28"/>
        </w:rPr>
        <w:t>食品处理区应采用机械排风、空调等设施，保持良好通风，及时排除潮湿和污浊空气，为员工提供有利健康和规范操作的良好工作环境。</w:t>
      </w:r>
    </w:p>
    <w:p w:rsidR="00E62FE8" w:rsidRDefault="00B40BCD" w:rsidP="00B40BCD">
      <w:pPr>
        <w:widowControl/>
        <w:snapToGrid w:val="0"/>
        <w:spacing w:line="500" w:lineRule="exact"/>
        <w:ind w:firstLineChars="200" w:firstLine="561"/>
        <w:jc w:val="left"/>
        <w:rPr>
          <w:rFonts w:ascii="仿宋" w:eastAsia="仿宋" w:hAnsi="仿宋" w:cs="仿宋"/>
          <w:color w:val="000000" w:themeColor="text1"/>
          <w:kern w:val="0"/>
          <w:sz w:val="28"/>
          <w:szCs w:val="28"/>
        </w:rPr>
      </w:pPr>
      <w:r w:rsidRPr="00B40BCD">
        <w:rPr>
          <w:rFonts w:ascii="华文中宋" w:eastAsia="华文中宋" w:hAnsi="华文中宋" w:cs="仿宋" w:hint="eastAsia"/>
          <w:b/>
          <w:bCs/>
          <w:color w:val="000000" w:themeColor="text1"/>
          <w:kern w:val="0"/>
          <w:sz w:val="28"/>
          <w:szCs w:val="28"/>
        </w:rPr>
        <w:t>十</w:t>
      </w:r>
      <w:r w:rsidR="00F440DB" w:rsidRPr="00B40BCD">
        <w:rPr>
          <w:rFonts w:ascii="华文中宋" w:eastAsia="华文中宋" w:hAnsi="华文中宋" w:cs="仿宋" w:hint="eastAsia"/>
          <w:b/>
          <w:bCs/>
          <w:color w:val="000000" w:themeColor="text1"/>
          <w:kern w:val="0"/>
          <w:sz w:val="28"/>
          <w:szCs w:val="28"/>
        </w:rPr>
        <w:t>、</w:t>
      </w:r>
      <w:r w:rsidR="00F440DB">
        <w:rPr>
          <w:rFonts w:ascii="仿宋" w:eastAsia="仿宋" w:hAnsi="仿宋" w:cs="仿宋" w:hint="eastAsia"/>
          <w:b/>
          <w:bCs/>
          <w:color w:val="000000" w:themeColor="text1"/>
          <w:kern w:val="0"/>
          <w:sz w:val="28"/>
          <w:szCs w:val="28"/>
        </w:rPr>
        <w:t>贮存、运输设施：</w:t>
      </w:r>
      <w:r w:rsidR="00F440DB">
        <w:rPr>
          <w:rFonts w:ascii="仿宋" w:eastAsia="仿宋" w:hAnsi="仿宋" w:cs="仿宋" w:hint="eastAsia"/>
          <w:color w:val="000000" w:themeColor="text1"/>
          <w:kern w:val="0"/>
          <w:sz w:val="28"/>
          <w:szCs w:val="28"/>
        </w:rPr>
        <w:t>应具有符合保证食品安全所需要求的设备、设施，配备专用车辆和密闭容器，远程运输食品须使用符合要求的专用封闭式冷藏（保温）车。每次使用前应进行有效的清洗消毒。</w:t>
      </w:r>
    </w:p>
    <w:p w:rsidR="00E62FE8" w:rsidRDefault="00F440DB" w:rsidP="00B40BCD">
      <w:pPr>
        <w:widowControl/>
        <w:snapToGrid w:val="0"/>
        <w:spacing w:line="500" w:lineRule="exact"/>
        <w:ind w:firstLineChars="200" w:firstLine="561"/>
        <w:jc w:val="left"/>
        <w:rPr>
          <w:rFonts w:ascii="仿宋" w:eastAsia="仿宋" w:hAnsi="仿宋" w:cs="仿宋"/>
          <w:color w:val="000000" w:themeColor="text1"/>
          <w:kern w:val="0"/>
          <w:sz w:val="28"/>
          <w:szCs w:val="28"/>
        </w:rPr>
      </w:pPr>
      <w:r w:rsidRPr="00B40BCD">
        <w:rPr>
          <w:rFonts w:ascii="华文中宋" w:eastAsia="华文中宋" w:hAnsi="华文中宋" w:cs="仿宋" w:hint="eastAsia"/>
          <w:b/>
          <w:bCs/>
          <w:color w:val="000000" w:themeColor="text1"/>
          <w:kern w:val="0"/>
          <w:sz w:val="28"/>
          <w:szCs w:val="28"/>
        </w:rPr>
        <w:t>十</w:t>
      </w:r>
      <w:r w:rsidR="00B40BCD">
        <w:rPr>
          <w:rFonts w:ascii="华文中宋" w:eastAsia="华文中宋" w:hAnsi="华文中宋" w:cs="仿宋" w:hint="eastAsia"/>
          <w:b/>
          <w:bCs/>
          <w:color w:val="000000" w:themeColor="text1"/>
          <w:kern w:val="0"/>
          <w:sz w:val="28"/>
          <w:szCs w:val="28"/>
        </w:rPr>
        <w:t>一</w:t>
      </w:r>
      <w:r w:rsidRPr="00B40BCD">
        <w:rPr>
          <w:rFonts w:ascii="华文中宋" w:eastAsia="华文中宋" w:hAnsi="华文中宋" w:cs="仿宋" w:hint="eastAsia"/>
          <w:b/>
          <w:bCs/>
          <w:color w:val="000000" w:themeColor="text1"/>
          <w:kern w:val="0"/>
          <w:sz w:val="28"/>
          <w:szCs w:val="28"/>
        </w:rPr>
        <w:t>、</w:t>
      </w:r>
      <w:r>
        <w:rPr>
          <w:rFonts w:ascii="仿宋" w:eastAsia="仿宋" w:hAnsi="仿宋" w:cs="仿宋" w:hint="eastAsia"/>
          <w:b/>
          <w:bCs/>
          <w:color w:val="000000" w:themeColor="text1"/>
          <w:kern w:val="0"/>
          <w:sz w:val="28"/>
          <w:szCs w:val="28"/>
        </w:rPr>
        <w:t>场所应保持清洁卫生：</w:t>
      </w:r>
      <w:r>
        <w:rPr>
          <w:rFonts w:ascii="仿宋" w:eastAsia="仿宋" w:hAnsi="仿宋" w:cs="仿宋" w:hint="eastAsia"/>
          <w:color w:val="000000" w:themeColor="text1"/>
          <w:kern w:val="0"/>
          <w:sz w:val="28"/>
          <w:szCs w:val="28"/>
        </w:rPr>
        <w:t>地面、墙壁、天花板、门窗等场所及设施无霉斑、脱落、裂缝等，排水畅通，定期清洗消毒空调及通风设施，废弃物能及时清理，与污染源能达到规定的距离，食品处理区禁止设有厕所、禁止圈养或宰杀活的禽畜类动物。餐饮服务场所内设置厕所的，应定期清洁卫生间并记录，其出口附近应当设置洗手、消毒、烘干设施。</w:t>
      </w:r>
      <w:bookmarkStart w:id="0" w:name="_Toc517621341"/>
      <w:r>
        <w:rPr>
          <w:rFonts w:ascii="仿宋" w:eastAsia="仿宋" w:hAnsi="仿宋" w:cs="仿宋" w:hint="eastAsia"/>
          <w:color w:val="000000" w:themeColor="text1"/>
          <w:kern w:val="0"/>
          <w:sz w:val="28"/>
          <w:szCs w:val="28"/>
        </w:rPr>
        <w:t>可参照《餐饮服务食品安全操作规范》附录H</w:t>
      </w:r>
      <w:bookmarkEnd w:id="0"/>
      <w:r>
        <w:rPr>
          <w:rFonts w:ascii="仿宋" w:eastAsia="仿宋" w:hAnsi="仿宋" w:cs="仿宋" w:hint="eastAsia"/>
          <w:color w:val="000000" w:themeColor="text1"/>
          <w:kern w:val="0"/>
          <w:sz w:val="28"/>
          <w:szCs w:val="28"/>
        </w:rPr>
        <w:t>《推荐的餐饮服务场所、设施、设备及工具清洁方法》。</w:t>
      </w:r>
      <w:r>
        <w:rPr>
          <w:rFonts w:ascii="仿宋" w:eastAsia="仿宋" w:hAnsi="仿宋" w:cs="仿宋" w:hint="eastAsia"/>
          <w:color w:val="000000" w:themeColor="text1"/>
          <w:kern w:val="0"/>
          <w:sz w:val="28"/>
          <w:szCs w:val="28"/>
        </w:rPr>
        <w:tab/>
      </w:r>
    </w:p>
    <w:p w:rsidR="00E62FE8" w:rsidRDefault="00F440DB">
      <w:pPr>
        <w:tabs>
          <w:tab w:val="left" w:pos="7123"/>
        </w:tabs>
        <w:jc w:val="left"/>
        <w:rPr>
          <w:rFonts w:ascii="仿宋" w:eastAsia="仿宋" w:hAnsi="仿宋" w:cs="仿宋"/>
          <w:color w:val="000000" w:themeColor="text1"/>
          <w:kern w:val="0"/>
          <w:sz w:val="28"/>
          <w:szCs w:val="28"/>
        </w:rPr>
      </w:pPr>
      <w:r>
        <w:rPr>
          <w:rFonts w:ascii="仿宋" w:eastAsia="仿宋" w:hAnsi="仿宋" w:cs="仿宋" w:hint="eastAsia"/>
          <w:color w:val="000000" w:themeColor="text1"/>
          <w:kern w:val="0"/>
          <w:sz w:val="28"/>
          <w:szCs w:val="28"/>
        </w:rPr>
        <w:tab/>
      </w:r>
    </w:p>
    <w:p w:rsidR="00E62FE8" w:rsidRDefault="00B40BCD">
      <w:pPr>
        <w:tabs>
          <w:tab w:val="left" w:pos="7123"/>
        </w:tabs>
        <w:jc w:val="left"/>
        <w:rPr>
          <w:rFonts w:ascii="仿宋" w:eastAsia="仿宋" w:hAnsi="仿宋" w:cs="仿宋"/>
          <w:color w:val="000000" w:themeColor="text1"/>
          <w:kern w:val="0"/>
          <w:sz w:val="28"/>
          <w:szCs w:val="28"/>
        </w:rPr>
      </w:pPr>
      <w:r>
        <w:rPr>
          <w:rFonts w:ascii="仿宋" w:eastAsia="仿宋" w:hAnsi="仿宋" w:cs="仿宋"/>
          <w:noProof/>
          <w:color w:val="000000" w:themeColor="text1"/>
          <w:kern w:val="0"/>
          <w:sz w:val="28"/>
          <w:szCs w:val="28"/>
        </w:rPr>
        <w:drawing>
          <wp:anchor distT="0" distB="0" distL="114300" distR="114300" simplePos="0" relativeHeight="251659264" behindDoc="0" locked="0" layoutInCell="1" allowOverlap="1">
            <wp:simplePos x="0" y="0"/>
            <wp:positionH relativeFrom="column">
              <wp:posOffset>866775</wp:posOffset>
            </wp:positionH>
            <wp:positionV relativeFrom="paragraph">
              <wp:posOffset>114935</wp:posOffset>
            </wp:positionV>
            <wp:extent cx="762000" cy="857250"/>
            <wp:effectExtent l="0" t="0" r="0" b="0"/>
            <wp:wrapNone/>
            <wp:docPr id="1" name="图片 2" descr="D:\宣传资料\宣传用图\设计用图\局徽、章\市场监管委logo.png"/>
            <wp:cNvGraphicFramePr/>
            <a:graphic xmlns:a="http://schemas.openxmlformats.org/drawingml/2006/main">
              <a:graphicData uri="http://schemas.openxmlformats.org/drawingml/2006/picture">
                <pic:pic xmlns:pic="http://schemas.openxmlformats.org/drawingml/2006/picture">
                  <pic:nvPicPr>
                    <pic:cNvPr id="1026" name="Picture 2" descr="D:\宣传资料\宣传用图\设计用图\局徽、章\市场监管委logo.png"/>
                    <pic:cNvPicPr>
                      <a:picLocks noChangeAspect="1" noChangeArrowheads="1"/>
                    </pic:cNvPicPr>
                  </pic:nvPicPr>
                  <pic:blipFill>
                    <a:blip r:embed="rId8" cstate="print"/>
                    <a:srcRect/>
                    <a:stretch>
                      <a:fillRect/>
                    </a:stretch>
                  </pic:blipFill>
                  <pic:spPr bwMode="auto">
                    <a:xfrm>
                      <a:off x="0" y="0"/>
                      <a:ext cx="762000" cy="857250"/>
                    </a:xfrm>
                    <a:prstGeom prst="rect">
                      <a:avLst/>
                    </a:prstGeom>
                    <a:noFill/>
                  </pic:spPr>
                </pic:pic>
              </a:graphicData>
            </a:graphic>
          </wp:anchor>
        </w:drawing>
      </w:r>
    </w:p>
    <w:p w:rsidR="00E62FE8" w:rsidRDefault="00B40BCD">
      <w:pPr>
        <w:pStyle w:val="a4"/>
        <w:jc w:val="center"/>
        <w:rPr>
          <w:rFonts w:ascii="仿宋" w:eastAsia="仿宋" w:hAnsi="仿宋"/>
          <w:color w:val="000000" w:themeColor="text1"/>
          <w:sz w:val="32"/>
          <w:szCs w:val="32"/>
        </w:rPr>
      </w:pPr>
      <w:r>
        <w:rPr>
          <w:rFonts w:ascii="华文中宋" w:eastAsia="华文中宋" w:hAnsi="华文中宋" w:hint="eastAsia"/>
          <w:b/>
          <w:bCs/>
          <w:color w:val="000000" w:themeColor="text1"/>
          <w:sz w:val="32"/>
          <w:szCs w:val="32"/>
        </w:rPr>
        <w:t xml:space="preserve">     </w:t>
      </w:r>
      <w:r w:rsidR="00F440DB">
        <w:rPr>
          <w:rFonts w:ascii="华文中宋" w:eastAsia="华文中宋" w:hAnsi="华文中宋" w:hint="eastAsia"/>
          <w:b/>
          <w:bCs/>
          <w:color w:val="000000" w:themeColor="text1"/>
          <w:sz w:val="32"/>
          <w:szCs w:val="32"/>
        </w:rPr>
        <w:t>深圳市市场监督管理局编制</w:t>
      </w:r>
    </w:p>
    <w:p w:rsidR="00E62FE8" w:rsidRDefault="00E62FE8">
      <w:pPr>
        <w:tabs>
          <w:tab w:val="left" w:pos="7123"/>
        </w:tabs>
        <w:jc w:val="left"/>
        <w:rPr>
          <w:rFonts w:ascii="仿宋" w:eastAsia="仿宋" w:hAnsi="仿宋" w:cs="仿宋"/>
          <w:color w:val="000000" w:themeColor="text1"/>
          <w:kern w:val="0"/>
          <w:sz w:val="28"/>
          <w:szCs w:val="28"/>
        </w:rPr>
      </w:pPr>
      <w:bookmarkStart w:id="1" w:name="_GoBack"/>
      <w:bookmarkEnd w:id="1"/>
    </w:p>
    <w:sectPr w:rsidR="00E62FE8" w:rsidSect="00E62F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373" w:rsidRDefault="00EF3373" w:rsidP="00B40BCD">
      <w:r>
        <w:separator/>
      </w:r>
    </w:p>
  </w:endnote>
  <w:endnote w:type="continuationSeparator" w:id="0">
    <w:p w:rsidR="00EF3373" w:rsidRDefault="00EF3373" w:rsidP="00B40BCD">
      <w:r>
        <w:continuationSeparator/>
      </w:r>
    </w:p>
  </w:endnote>
</w:endnotes>
</file>

<file path=word/fontTable.xml><?xml version="1.0" encoding="utf-8"?>
<w:fonts xmlns:r="http://schemas.openxmlformats.org/officeDocument/2006/relationships" xmlns:w="http://schemas.openxmlformats.org/wordprocessingml/2006/main">
  <w:font w:name="华文中宋">
    <w:panose1 w:val="02010600040101010101"/>
    <w:charset w:val="86"/>
    <w:family w:val="auto"/>
    <w:pitch w:val="variable"/>
    <w:sig w:usb0="00000287" w:usb1="080F0000" w:usb2="00000010" w:usb3="00000000" w:csb0="000400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简">
    <w:altName w:val="黑体"/>
    <w:charset w:val="88"/>
    <w:family w:val="auto"/>
    <w:pitch w:val="default"/>
    <w:sig w:usb0="00000000" w:usb1="00000000" w:usb2="00000010" w:usb3="00000000" w:csb0="003E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373" w:rsidRDefault="00EF3373" w:rsidP="00B40BCD">
      <w:r>
        <w:separator/>
      </w:r>
    </w:p>
  </w:footnote>
  <w:footnote w:type="continuationSeparator" w:id="0">
    <w:p w:rsidR="00EF3373" w:rsidRDefault="00EF3373" w:rsidP="00B40B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05FC1"/>
    <w:multiLevelType w:val="singleLevel"/>
    <w:tmpl w:val="636EFF88"/>
    <w:lvl w:ilvl="0">
      <w:start w:val="1"/>
      <w:numFmt w:val="chineseCounting"/>
      <w:suff w:val="nothing"/>
      <w:lvlText w:val="%1、"/>
      <w:lvlJc w:val="left"/>
      <w:rPr>
        <w:rFonts w:ascii="华文中宋" w:eastAsia="华文中宋" w:hAnsi="华文中宋"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C7B33"/>
    <w:rsid w:val="00087316"/>
    <w:rsid w:val="00093B25"/>
    <w:rsid w:val="0011312C"/>
    <w:rsid w:val="002F0368"/>
    <w:rsid w:val="003015E7"/>
    <w:rsid w:val="00334A01"/>
    <w:rsid w:val="003A5514"/>
    <w:rsid w:val="003C7B33"/>
    <w:rsid w:val="003E4AEC"/>
    <w:rsid w:val="00410606"/>
    <w:rsid w:val="004A1157"/>
    <w:rsid w:val="004D38EC"/>
    <w:rsid w:val="0056540A"/>
    <w:rsid w:val="00567609"/>
    <w:rsid w:val="005904AB"/>
    <w:rsid w:val="005A77E8"/>
    <w:rsid w:val="006B5B98"/>
    <w:rsid w:val="00886A16"/>
    <w:rsid w:val="008A33FC"/>
    <w:rsid w:val="00983CE2"/>
    <w:rsid w:val="00A2336F"/>
    <w:rsid w:val="00A82A4F"/>
    <w:rsid w:val="00B40BCD"/>
    <w:rsid w:val="00BE4AA1"/>
    <w:rsid w:val="00C17E55"/>
    <w:rsid w:val="00CF21E9"/>
    <w:rsid w:val="00D05754"/>
    <w:rsid w:val="00E62FE8"/>
    <w:rsid w:val="00EE3CAE"/>
    <w:rsid w:val="00EF3373"/>
    <w:rsid w:val="00F35B7E"/>
    <w:rsid w:val="00F440DB"/>
    <w:rsid w:val="017B4C46"/>
    <w:rsid w:val="02D74E31"/>
    <w:rsid w:val="063F1256"/>
    <w:rsid w:val="09304F4A"/>
    <w:rsid w:val="0D717BA9"/>
    <w:rsid w:val="10A100D9"/>
    <w:rsid w:val="15764F06"/>
    <w:rsid w:val="174C2E68"/>
    <w:rsid w:val="20985815"/>
    <w:rsid w:val="210B3A17"/>
    <w:rsid w:val="22850297"/>
    <w:rsid w:val="2316623B"/>
    <w:rsid w:val="25123CDE"/>
    <w:rsid w:val="2B2E7EBE"/>
    <w:rsid w:val="2C0074DE"/>
    <w:rsid w:val="376F3DBD"/>
    <w:rsid w:val="3F746BED"/>
    <w:rsid w:val="43F401D1"/>
    <w:rsid w:val="4D462926"/>
    <w:rsid w:val="57071682"/>
    <w:rsid w:val="629E09E9"/>
    <w:rsid w:val="647B0D96"/>
    <w:rsid w:val="67A0033F"/>
    <w:rsid w:val="6D5518F4"/>
    <w:rsid w:val="6DE63F42"/>
    <w:rsid w:val="71E807A6"/>
    <w:rsid w:val="73556EF2"/>
    <w:rsid w:val="755837CE"/>
    <w:rsid w:val="78262C5E"/>
    <w:rsid w:val="7B6013EB"/>
    <w:rsid w:val="7D6560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FE8"/>
    <w:pPr>
      <w:widowControl w:val="0"/>
      <w:jc w:val="both"/>
    </w:pPr>
    <w:rPr>
      <w:rFonts w:eastAsia="仿宋_GB2312"/>
      <w:kern w:val="2"/>
      <w:sz w:val="21"/>
    </w:rPr>
  </w:style>
  <w:style w:type="paragraph" w:styleId="1">
    <w:name w:val="heading 1"/>
    <w:basedOn w:val="a"/>
    <w:next w:val="a"/>
    <w:uiPriority w:val="9"/>
    <w:qFormat/>
    <w:rsid w:val="00E62FE8"/>
    <w:pPr>
      <w:keepNext/>
      <w:keepLines/>
      <w:spacing w:before="100" w:beforeAutospacing="1" w:line="360" w:lineRule="auto"/>
      <w:outlineLvl w:val="0"/>
    </w:pPr>
    <w:rPr>
      <w:rFonts w:ascii="黑体-简" w:eastAsia="黑体-简"/>
      <w:bCs/>
      <w:kern w:val="44"/>
      <w:sz w:val="24"/>
      <w:szCs w:val="24"/>
    </w:rPr>
  </w:style>
  <w:style w:type="paragraph" w:styleId="2">
    <w:name w:val="heading 2"/>
    <w:basedOn w:val="a"/>
    <w:next w:val="a"/>
    <w:link w:val="2Char"/>
    <w:qFormat/>
    <w:rsid w:val="00E62FE8"/>
    <w:pPr>
      <w:keepNext/>
      <w:keepLines/>
      <w:tabs>
        <w:tab w:val="left" w:pos="720"/>
      </w:tab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62FE8"/>
    <w:rPr>
      <w:sz w:val="18"/>
      <w:szCs w:val="18"/>
    </w:rPr>
  </w:style>
  <w:style w:type="paragraph" w:styleId="a4">
    <w:name w:val="footer"/>
    <w:basedOn w:val="a"/>
    <w:link w:val="Char0"/>
    <w:uiPriority w:val="99"/>
    <w:unhideWhenUsed/>
    <w:qFormat/>
    <w:rsid w:val="00E62FE8"/>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E62FE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E62FE8"/>
    <w:rPr>
      <w:sz w:val="18"/>
      <w:szCs w:val="18"/>
    </w:rPr>
  </w:style>
  <w:style w:type="character" w:customStyle="1" w:styleId="Char0">
    <w:name w:val="页脚 Char"/>
    <w:basedOn w:val="a0"/>
    <w:link w:val="a4"/>
    <w:uiPriority w:val="99"/>
    <w:qFormat/>
    <w:rsid w:val="00E62FE8"/>
    <w:rPr>
      <w:sz w:val="18"/>
      <w:szCs w:val="18"/>
    </w:rPr>
  </w:style>
  <w:style w:type="character" w:customStyle="1" w:styleId="2Char">
    <w:name w:val="标题 2 Char"/>
    <w:basedOn w:val="a0"/>
    <w:link w:val="2"/>
    <w:qFormat/>
    <w:rsid w:val="00E62FE8"/>
    <w:rPr>
      <w:rFonts w:ascii="Arial" w:eastAsia="黑体" w:hAnsi="Arial" w:cs="Times New Roman"/>
      <w:b/>
      <w:sz w:val="32"/>
      <w:szCs w:val="20"/>
    </w:rPr>
  </w:style>
  <w:style w:type="character" w:customStyle="1" w:styleId="Char">
    <w:name w:val="批注框文本 Char"/>
    <w:basedOn w:val="a0"/>
    <w:link w:val="a3"/>
    <w:uiPriority w:val="99"/>
    <w:semiHidden/>
    <w:qFormat/>
    <w:rsid w:val="00E62FE8"/>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291</Words>
  <Characters>1664</Characters>
  <Application>Microsoft Office Word</Application>
  <DocSecurity>0</DocSecurity>
  <Lines>13</Lines>
  <Paragraphs>3</Paragraphs>
  <ScaleCrop>false</ScaleCrop>
  <Company>Microsoft</Company>
  <LinksUpToDate>false</LinksUpToDate>
  <CharactersWithSpaces>1952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华艳萍</cp:lastModifiedBy>
  <cp:revision>11</cp:revision>
  <dcterms:created xsi:type="dcterms:W3CDTF">2019-01-14T08:13:00Z</dcterms:created>
  <dcterms:modified xsi:type="dcterms:W3CDTF">2020-08-06T10:07:00Z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