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Arial"/>
          <w:kern w:val="0"/>
          <w:szCs w:val="32"/>
          <w:lang w:eastAsia="zh-CN"/>
        </w:rPr>
      </w:pPr>
      <w:r>
        <w:rPr>
          <w:rFonts w:hint="eastAsia" w:ascii="黑体" w:hAnsi="黑体" w:eastAsia="黑体" w:cs="Arial"/>
          <w:kern w:val="0"/>
          <w:szCs w:val="32"/>
        </w:rPr>
        <w:t>附件</w:t>
      </w:r>
      <w:r>
        <w:rPr>
          <w:rFonts w:hint="eastAsia" w:ascii="黑体" w:hAnsi="黑体" w:eastAsia="黑体" w:cs="Arial"/>
          <w:kern w:val="0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2"/>
        <w:jc w:val="center"/>
        <w:textAlignment w:val="auto"/>
        <w:rPr>
          <w:rFonts w:ascii="方正小标宋简体" w:hAnsi="方正小标宋简体" w:eastAsia="方正小标宋简体" w:cs="方正小标宋简体"/>
          <w:spacing w:val="-12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2"/>
          <w:sz w:val="44"/>
          <w:szCs w:val="44"/>
        </w:rPr>
        <w:t>部分不合格项目小知识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40" w:firstLine="48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一、不合格项目小知识</w:t>
      </w:r>
    </w:p>
    <w:p>
      <w:pPr>
        <w:spacing w:line="560" w:lineRule="exact"/>
        <w:ind w:firstLine="482" w:firstLineChars="150"/>
        <w:rPr>
          <w:rFonts w:ascii="楷体_GB2312" w:hAnsi="楷体" w:eastAsia="楷体_GB2312" w:cs="仿宋_GB2312"/>
          <w:b/>
          <w:sz w:val="32"/>
          <w:szCs w:val="32"/>
        </w:rPr>
      </w:pPr>
      <w:r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" w:eastAsia="楷体_GB2312" w:cs="仿宋_GB2312"/>
          <w:b/>
          <w:sz w:val="32"/>
          <w:szCs w:val="32"/>
        </w:rPr>
        <w:t>大肠菌群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仿宋"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 熟肉制品》（GB 2726-2016）中规定，从一批产品中采集5个样品，若5个样品的检验结果均小于或等于m值（≤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CFU/g），则这种情况是允许的；若≤2个样品的结果（X）位于m值和M值之间（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CFU/g＜X≤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10</w:t>
      </w:r>
      <w:r>
        <w:rPr>
          <w:rFonts w:hint="eastAsia" w:ascii="仿宋_GB2312" w:hAnsi="仿宋" w:eastAsia="仿宋_GB2312"/>
          <w:color w:val="000000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CFU/g）,则这种情况也是允许的；若有3个及以上的样品检验结果位于m值和M值之间，则这种情况是不允许的；若有任一样品的检验结果大于M值（＞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10</w:t>
      </w:r>
      <w:r>
        <w:rPr>
          <w:rFonts w:hint="eastAsia" w:ascii="仿宋_GB2312" w:hAnsi="仿宋" w:eastAsia="仿宋_GB2312"/>
          <w:color w:val="000000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CFU/g），则这种情况也是不允许的。《食品安全国家标准 冲调谷物制品》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GB 19640-2016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中规定，从一批产品中采集5个样品，若5个样品的检验结果均小于或等于m值（≤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CFU/g），则这种情况是允许的；若≤2个样品的结果（X）位于m值和M值之间（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CFU/g＜X≤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10</w:t>
      </w:r>
      <w:r>
        <w:rPr>
          <w:rFonts w:hint="eastAsia" w:ascii="仿宋_GB2312" w:hAnsi="仿宋" w:eastAsia="仿宋_GB2312"/>
          <w:color w:val="000000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CFU/g）,则这种情况也是允许的；若有3个及以上的样品检验结果位于m值和M值之间，则这种情况是不允许的；若有任一样品的检验结果大于M值（＞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10</w:t>
      </w:r>
      <w:r>
        <w:rPr>
          <w:rFonts w:hint="eastAsia" w:ascii="仿宋_GB2312" w:hAnsi="仿宋" w:eastAsia="仿宋_GB2312"/>
          <w:color w:val="000000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CFU/g），则这种情况也是不允许的。</w:t>
      </w:r>
      <w:r>
        <w:rPr>
          <w:rFonts w:hint="eastAsia" w:ascii="仿宋_GB2312" w:hAnsi="仿宋" w:eastAsia="仿宋_GB2312" w:cs="宋体"/>
          <w:sz w:val="32"/>
          <w:szCs w:val="32"/>
        </w:rPr>
        <w:t>食品中检出大肠菌群不合格提示食品可能受到肠道致病菌污染，人食用后可能会出现呕吐、腹泻等消化道症状。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textAlignment w:val="auto"/>
        <w:rPr>
          <w:rFonts w:ascii="楷体_GB2312" w:hAnsi="楷体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</w:p>
    <w:p>
      <w:pPr>
        <w:spacing w:line="560" w:lineRule="exact"/>
        <w:ind w:firstLine="640" w:firstLineChars="200"/>
        <w:rPr>
          <w:rFonts w:ascii="仿宋_GB2312" w:hAnsi="楷体" w:eastAsia="仿宋_GB2312" w:cs="Arial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菌落总数是指示性微生物指标，并非致病菌指标，主要用来评价食品清洁度，反映食品在生产过程中是否符合卫生要求，一定程度上标志着食品卫生质量的优劣。</w:t>
      </w:r>
      <w:r>
        <w:rPr>
          <w:rFonts w:hint="eastAsia" w:ascii="仿宋_GB2312" w:hAnsi="仿宋" w:eastAsia="仿宋_GB2312"/>
          <w:sz w:val="32"/>
          <w:szCs w:val="32"/>
        </w:rPr>
        <w:t>《食品安全国家标准 熟肉制品》（GB 2726-2016）</w:t>
      </w:r>
      <w:r>
        <w:rPr>
          <w:rFonts w:hint="eastAsia" w:ascii="仿宋_GB2312" w:hAnsi="仿宋" w:eastAsia="仿宋_GB2312" w:cs="仿宋"/>
          <w:sz w:val="32"/>
          <w:szCs w:val="32"/>
        </w:rPr>
        <w:t>中规定，</w:t>
      </w:r>
      <w:r>
        <w:rPr>
          <w:rFonts w:hint="eastAsia" w:ascii="仿宋_GB2312" w:hAnsi="仿宋" w:cs="仿宋"/>
          <w:sz w:val="32"/>
          <w:szCs w:val="32"/>
          <w:lang w:eastAsia="zh-CN"/>
        </w:rPr>
        <w:t>熟肉制品（发酵肉制品类除外）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从一批产品中采集5个样品，若5个样品的检验结果均小于或等于m值（≤10</w:t>
      </w:r>
      <w:r>
        <w:rPr>
          <w:rFonts w:hint="eastAsia" w:ascii="仿宋_GB2312" w:hAnsi="仿宋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CFU/g），则这种情况是允许的；若≤2个样品的结果（X）位于m值和M值之间（10</w:t>
      </w:r>
      <w:r>
        <w:rPr>
          <w:rFonts w:hint="eastAsia" w:ascii="仿宋_GB2312" w:hAnsi="仿宋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CFU/g＜X≤10</w:t>
      </w:r>
      <w:r>
        <w:rPr>
          <w:rFonts w:hint="eastAsia" w:ascii="仿宋_GB2312" w:hAnsi="仿宋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CFU/g）,则这种情况也是允许的；若有3个及以上的样品检验结果位于m值和M值之间，则这种情况是不允许的；若有任一样品的检验结果大于M值（＞10</w:t>
      </w:r>
      <w:r>
        <w:rPr>
          <w:rFonts w:hint="eastAsia" w:ascii="仿宋_GB2312" w:hAnsi="仿宋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CFU/g），则这种情况也是不允许的。</w:t>
      </w:r>
      <w:r>
        <w:rPr>
          <w:rFonts w:hint="eastAsia" w:ascii="仿宋_GB2312" w:hAnsi="仿宋" w:eastAsia="仿宋_GB2312"/>
          <w:sz w:val="32"/>
          <w:szCs w:val="32"/>
        </w:rPr>
        <w:t>食品的菌落总数超标，说明其产品的卫生状况达不到基本的卫生要求，将会破坏食品的营养成分，加速食品的腐败变质，使食品失去食用价值。消费者食用菌落总数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超标严重的食品，容易患痢疾等肠道疾病，会引起呕吐、腹泻等症状。</w:t>
      </w:r>
    </w:p>
    <w:p>
      <w:pPr>
        <w:spacing w:line="560" w:lineRule="exact"/>
        <w:ind w:firstLine="482" w:firstLineChars="150"/>
        <w:rPr>
          <w:rFonts w:ascii="楷体_GB2312" w:hAnsi="楷体" w:eastAsia="楷体_GB2312" w:cs="仿宋_GB2312"/>
          <w:b/>
          <w:sz w:val="32"/>
          <w:szCs w:val="32"/>
        </w:rPr>
      </w:pPr>
      <w:r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" w:eastAsia="楷体_GB2312" w:cs="仿宋_GB2312"/>
          <w:b/>
          <w:sz w:val="32"/>
          <w:szCs w:val="32"/>
        </w:rPr>
        <w:t>二氧化硫残留量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食品中的二氧化硫残留通常是指二氧化硫、硫磺以及焦亚硫酸钠、焦亚硫酸钾、亚硫酸钠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、亚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硫酸氢钠、低亚硫酸钠等无机亚硫酸盐残留的统称。</w:t>
      </w:r>
      <w:r>
        <w:rPr>
          <w:rFonts w:hint="eastAsia" w:ascii="仿宋_GB2312" w:hAnsi="仿宋" w:eastAsia="仿宋_GB2312"/>
          <w:sz w:val="32"/>
          <w:szCs w:val="32"/>
        </w:rPr>
        <w:t>《食品安全国家标准 食品添加剂使用标准》（GB 2760-2014）中规定，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米粉制品</w:t>
      </w:r>
      <w:r>
        <w:rPr>
          <w:rFonts w:hint="eastAsia" w:ascii="仿宋_GB2312" w:hAnsi="仿宋" w:eastAsia="仿宋_GB2312"/>
          <w:sz w:val="32"/>
          <w:szCs w:val="32"/>
        </w:rPr>
        <w:t>中不得使用二氧化硫类食品添加剂。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对二氧化硫有过敏反应的人（如哮喘病患者等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若食用二氧化硫超标的食物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，可能会出现气喘、头痛或恶心等过敏症状。若长期大量摄入二氧化硫残留超标的食品，则可能对人体健康造成危害，其毒性表现为胃肠道反应，如恶心、呕吐等。此外，还会影响钙吸收，使机体钙丢失。</w:t>
      </w:r>
    </w:p>
    <w:p>
      <w:pPr>
        <w:widowControl/>
        <w:ind w:left="0" w:leftChars="0" w:firstLine="643" w:firstLineChars="2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  <w:t>（四）</w:t>
      </w:r>
      <w:r>
        <w:rPr>
          <w:rFonts w:ascii="楷体_GB2312" w:hAnsi="宋体" w:eastAsia="楷体_GB2312" w:cs="宋体"/>
          <w:b/>
          <w:kern w:val="0"/>
          <w:sz w:val="32"/>
          <w:szCs w:val="32"/>
        </w:rPr>
        <w:t>过氧化值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  <w:lang w:val="zh-CN"/>
        </w:rPr>
      </w:pP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过氧化值（以脂肪计）主要反映食品中油脂是否氧化变质。随着油脂氧化，过氧化值会逐步升高，虽一般不会对人体的健康产生损害，但严重时会导致肠胃不适、腹泻等症状。《食品安全国家标准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CN"/>
        </w:rPr>
        <w:t xml:space="preserve"> 坚果与籽类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食品》（GB 1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CN"/>
        </w:rPr>
        <w:t>9300-2014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）中规定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CN"/>
        </w:rPr>
        <w:t>，熟制葵花籽过氧化值应</w:t>
      </w:r>
      <w:r>
        <w:rPr>
          <w:rFonts w:hint="eastAsia" w:ascii="仿宋_GB2312" w:hAnsi="仿宋" w:eastAsia="仿宋_GB2312"/>
          <w:sz w:val="32"/>
          <w:szCs w:val="32"/>
        </w:rPr>
        <w:t>≤0.80g/100g，其他熟制坚果和籽类食品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CN"/>
        </w:rPr>
        <w:t>过氧化值应</w:t>
      </w:r>
      <w:r>
        <w:rPr>
          <w:rFonts w:hint="eastAsia" w:ascii="仿宋_GB2312" w:hAnsi="仿宋" w:eastAsia="仿宋_GB2312"/>
          <w:sz w:val="32"/>
          <w:szCs w:val="32"/>
        </w:rPr>
        <w:t>≤0.50g/100g。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过氧化值超标的原因，可能是原料油脂储存不当导致脂肪氧化、生产用油变质，或者样品漏气、储存过程中环境条件控制不当导致产品酸败变质。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  <w:t>（五）合成着色剂（苋菜红、亮蓝、</w:t>
      </w:r>
      <w:r>
        <w:rPr>
          <w:rFonts w:hint="eastAsia" w:ascii="楷体_GB2312" w:hAnsi="楷体" w:eastAsia="楷体_GB2312" w:cs="仿宋_GB2312"/>
          <w:b/>
          <w:sz w:val="32"/>
          <w:szCs w:val="32"/>
        </w:rPr>
        <w:t>柠檬黄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" w:eastAsia="仿宋_GB2312" w:cs="宋体"/>
          <w:kern w:val="0"/>
          <w:sz w:val="32"/>
          <w:szCs w:val="32"/>
          <w:lang w:val="zh-CN"/>
        </w:rPr>
      </w:pP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苋菜红、亮蓝</w:t>
      </w:r>
      <w:r>
        <w:rPr>
          <w:rFonts w:hint="eastAsia" w:ascii="仿宋_GB2312" w:hAnsi="仿宋" w:cs="宋体"/>
          <w:kern w:val="0"/>
          <w:sz w:val="32"/>
          <w:szCs w:val="32"/>
          <w:lang w:val="zh-CN"/>
        </w:rPr>
        <w:t>、柠檬黄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是常见合成着色剂，在现代食品业中应用广泛。《食品安全国家标准</w:t>
      </w:r>
      <w:r>
        <w:rPr>
          <w:rFonts w:hint="eastAsia" w:ascii="仿宋_GB2312" w:hAnsi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食品添加剂使用标准》（GB 2760</w:t>
      </w:r>
      <w:r>
        <w:rPr>
          <w:rFonts w:hint="eastAsia" w:ascii="仿宋_GB2312" w:hAnsi="仿宋" w:cs="宋体"/>
          <w:color w:val="0000FF"/>
          <w:kern w:val="0"/>
          <w:sz w:val="32"/>
          <w:szCs w:val="32"/>
          <w:lang w:val="en-US" w:eastAsia="zh-CN"/>
        </w:rPr>
        <w:t>-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2014）中规定，蜜饯凉果中苋菜红</w:t>
      </w:r>
      <w:r>
        <w:rPr>
          <w:rFonts w:hint="eastAsia" w:ascii="仿宋_GB2312" w:hAnsi="仿宋" w:cs="宋体"/>
          <w:kern w:val="0"/>
          <w:sz w:val="32"/>
          <w:szCs w:val="32"/>
          <w:lang w:val="zh-CN"/>
        </w:rPr>
        <w:t>应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≤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0.05g/kg，凉果类亮蓝</w:t>
      </w:r>
      <w:r>
        <w:rPr>
          <w:rFonts w:hint="eastAsia" w:ascii="仿宋_GB2312" w:hAnsi="仿宋" w:cs="宋体"/>
          <w:kern w:val="0"/>
          <w:sz w:val="32"/>
          <w:szCs w:val="32"/>
          <w:lang w:val="zh-CN"/>
        </w:rPr>
        <w:t>应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≤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0.025g/kg</w:t>
      </w:r>
      <w:r>
        <w:rPr>
          <w:rFonts w:hint="eastAsia" w:ascii="仿宋_GB2312" w:hAnsi="仿宋" w:cs="宋体"/>
          <w:kern w:val="0"/>
          <w:sz w:val="32"/>
          <w:szCs w:val="32"/>
          <w:lang w:val="zh-CN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蜜饯凉果中柠檬黄应≤0.1g/kg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。蜜饯凉果类</w:t>
      </w:r>
      <w:r>
        <w:rPr>
          <w:rFonts w:hint="eastAsia" w:ascii="仿宋_GB2312" w:hAnsi="仿宋" w:cs="宋体"/>
          <w:color w:val="auto"/>
          <w:kern w:val="0"/>
          <w:sz w:val="32"/>
          <w:szCs w:val="32"/>
          <w:lang w:val="zh-CN"/>
        </w:rPr>
        <w:t>食品</w:t>
      </w:r>
      <w:r>
        <w:rPr>
          <w:rFonts w:ascii="仿宋_GB2312" w:hAnsi="仿宋" w:eastAsia="仿宋_GB2312" w:cs="宋体"/>
          <w:color w:val="auto"/>
          <w:kern w:val="0"/>
          <w:sz w:val="32"/>
          <w:szCs w:val="32"/>
          <w:lang w:val="zh-CN"/>
        </w:rPr>
        <w:t>的苋菜红、亮蓝</w:t>
      </w:r>
      <w:r>
        <w:rPr>
          <w:rFonts w:hint="eastAsia" w:ascii="仿宋_GB2312" w:hAnsi="仿宋" w:cs="宋体"/>
          <w:color w:val="auto"/>
          <w:kern w:val="0"/>
          <w:sz w:val="32"/>
          <w:szCs w:val="32"/>
          <w:lang w:val="zh-CN" w:eastAsia="zh-CN"/>
        </w:rPr>
        <w:t>、柠檬黄等</w:t>
      </w:r>
      <w:r>
        <w:rPr>
          <w:rFonts w:ascii="仿宋_GB2312" w:hAnsi="仿宋" w:eastAsia="仿宋_GB2312" w:cs="宋体"/>
          <w:color w:val="auto"/>
          <w:kern w:val="0"/>
          <w:sz w:val="32"/>
          <w:szCs w:val="32"/>
          <w:lang w:val="zh-CN"/>
        </w:rPr>
        <w:t>项目不合格的原因，可能是生产厂家未</w:t>
      </w:r>
      <w:r>
        <w:rPr>
          <w:rFonts w:hint="eastAsia" w:ascii="仿宋_GB2312" w:hAnsi="仿宋" w:cs="宋体"/>
          <w:color w:val="auto"/>
          <w:kern w:val="0"/>
          <w:sz w:val="32"/>
          <w:szCs w:val="32"/>
          <w:lang w:val="zh-CN"/>
        </w:rPr>
        <w:t>严格按照标准使用食品添加剂或因投料时计量不准确导致</w:t>
      </w:r>
      <w:r>
        <w:rPr>
          <w:rFonts w:ascii="仿宋_GB2312" w:hAnsi="仿宋" w:eastAsia="仿宋_GB2312" w:cs="宋体"/>
          <w:color w:val="auto"/>
          <w:kern w:val="0"/>
          <w:sz w:val="32"/>
          <w:szCs w:val="32"/>
          <w:lang w:val="zh-CN"/>
        </w:rPr>
        <w:t>。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合成着色剂没有营养价值,长期过量食用</w:t>
      </w:r>
      <w:r>
        <w:rPr>
          <w:rFonts w:hint="eastAsia" w:ascii="仿宋_GB2312" w:hAnsi="仿宋" w:cs="宋体"/>
          <w:kern w:val="0"/>
          <w:sz w:val="32"/>
          <w:szCs w:val="32"/>
          <w:lang w:val="zh-CN"/>
        </w:rPr>
        <w:t>合成着色剂超标的食品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可能对人体健康产生一定影响。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  <w:t>（六）相同色泽着色剂混合使用时各自用量占其最大使用量的比例之和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cs="宋体"/>
          <w:kern w:val="0"/>
          <w:sz w:val="32"/>
          <w:szCs w:val="32"/>
          <w:lang w:val="zh-CN"/>
        </w:rPr>
        <w:t>合成着色剂</w:t>
      </w:r>
      <w:r>
        <w:rPr>
          <w:rFonts w:ascii="仿宋_GB2312" w:hAnsi="仿宋" w:eastAsia="仿宋_GB2312" w:cs="宋体"/>
          <w:kern w:val="0"/>
          <w:sz w:val="32"/>
          <w:szCs w:val="32"/>
          <w:lang w:val="zh-CN"/>
        </w:rPr>
        <w:t>在现代食品业中应用广泛。相比于天然色素，具有着色力强、成本低等特点。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CN"/>
        </w:rPr>
        <w:t>《食品安</w:t>
      </w:r>
      <w:r>
        <w:rPr>
          <w:rFonts w:hint="eastAsia" w:ascii="仿宋_GB2312" w:hAnsi="仿宋" w:eastAsia="仿宋_GB2312"/>
          <w:sz w:val="32"/>
          <w:szCs w:val="32"/>
        </w:rPr>
        <w:t>全国家标准 食品添加剂使用标准》（GB 2760-2014）不仅规定了我国在食品中允许添加的某一添加剂的种类、使用量或残留量，而且规定了同一功能的食品添加剂（相同色泽着色剂、防腐剂、抗氧化剂）在混合使用时，各自用量占其最大使用量的比例之和不应超过1。合成着色剂没有营养价值， 尤其是青少年儿童，正处于生长发育期，体内器官功能比较脆弱，神经系统发育尚不健全，对化学物质比较敏感，因此建议消费者要树立科学、健康的饮食观，在选购食品时切忌盲目追求产品卖相，注意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膳食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合理</w:t>
      </w:r>
      <w:r>
        <w:rPr>
          <w:rFonts w:hint="eastAsia" w:ascii="仿宋_GB2312" w:hAnsi="仿宋" w:eastAsia="仿宋_GB2312"/>
          <w:sz w:val="32"/>
          <w:szCs w:val="32"/>
        </w:rPr>
        <w:t>搭配、营养均衡。</w:t>
      </w:r>
    </w:p>
    <w:p>
      <w:pPr>
        <w:spacing w:line="560" w:lineRule="exact"/>
        <w:ind w:left="0" w:leftChars="0" w:firstLine="643" w:firstLineChars="200"/>
        <w:rPr>
          <w:rFonts w:ascii="楷体_GB2312" w:hAnsi="楷体" w:eastAsia="楷体_GB2312" w:cs="仿宋_GB2312"/>
          <w:b/>
          <w:sz w:val="32"/>
          <w:szCs w:val="32"/>
        </w:rPr>
      </w:pPr>
      <w:r>
        <w:rPr>
          <w:rFonts w:hint="eastAsia" w:ascii="楷体_GB2312" w:hAnsi="楷体" w:eastAsia="楷体_GB2312" w:cs="仿宋_GB2312"/>
          <w:b/>
          <w:color w:val="000000"/>
          <w:sz w:val="32"/>
          <w:szCs w:val="32"/>
        </w:rPr>
        <w:t>（</w:t>
      </w:r>
      <w:r>
        <w:rPr>
          <w:rFonts w:hint="eastAsia" w:ascii="楷体_GB2312" w:hAnsi="楷体" w:eastAsia="楷体_GB2312" w:cs="仿宋_GB2312"/>
          <w:b/>
          <w:color w:val="000000"/>
          <w:sz w:val="32"/>
          <w:szCs w:val="32"/>
          <w:lang w:eastAsia="zh-CN"/>
        </w:rPr>
        <w:t>七</w:t>
      </w:r>
      <w:r>
        <w:rPr>
          <w:rFonts w:hint="eastAsia" w:ascii="楷体_GB2312" w:hAnsi="楷体" w:eastAsia="楷体_GB2312" w:cs="仿宋_GB2312"/>
          <w:b/>
          <w:color w:val="000000"/>
          <w:sz w:val="32"/>
          <w:szCs w:val="32"/>
        </w:rPr>
        <w:t>）</w:t>
      </w:r>
      <w:r>
        <w:rPr>
          <w:rFonts w:hint="eastAsia" w:ascii="楷体_GB2312" w:hAnsi="楷体" w:eastAsia="楷体_GB2312" w:cs="宋体"/>
          <w:b/>
          <w:color w:val="000000"/>
          <w:kern w:val="0"/>
          <w:sz w:val="32"/>
          <w:szCs w:val="32"/>
        </w:rPr>
        <w:t>铝的残留量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铝作为食品添加剂硫酸铝钾/硫酸铝铵的重要成分，经常会添加在食物中作为膨松剂或稳定剂。</w:t>
      </w:r>
      <w:r>
        <w:rPr>
          <w:rFonts w:hint="eastAsia" w:ascii="仿宋_GB2312" w:hAnsi="仿宋" w:eastAsia="仿宋_GB2312"/>
          <w:sz w:val="32"/>
          <w:szCs w:val="32"/>
        </w:rPr>
        <w:t>《食品安全国家标准 食品添加剂使用标准》（GB 2760-2014）中规定，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粉丝粉条</w:t>
      </w:r>
      <w:r>
        <w:rPr>
          <w:rFonts w:hint="eastAsia" w:ascii="仿宋_GB2312" w:hAnsi="仿宋" w:eastAsia="仿宋_GB2312" w:cs="仿宋_GB2312"/>
          <w:sz w:val="32"/>
          <w:szCs w:val="32"/>
        </w:rPr>
        <w:t>中的铝的残留量(干样品，以Al计)应≤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00mg/kg。</w:t>
      </w:r>
      <w:r>
        <w:rPr>
          <w:rFonts w:hint="eastAsia" w:ascii="仿宋_GB2312" w:hAnsi="仿宋" w:eastAsia="仿宋_GB2312"/>
          <w:sz w:val="32"/>
          <w:szCs w:val="32"/>
        </w:rPr>
        <w:t>本次不合格</w:t>
      </w:r>
      <w:r>
        <w:rPr>
          <w:rFonts w:hint="eastAsia" w:ascii="仿宋_GB2312" w:hAnsi="仿宋"/>
          <w:sz w:val="32"/>
          <w:szCs w:val="32"/>
          <w:lang w:eastAsia="zh-CN"/>
        </w:rPr>
        <w:t>的水晶粉丝</w:t>
      </w:r>
      <w:r>
        <w:rPr>
          <w:rFonts w:hint="eastAsia" w:ascii="仿宋_GB2312" w:hAnsi="仿宋" w:eastAsia="仿宋_GB2312"/>
          <w:sz w:val="32"/>
          <w:szCs w:val="32"/>
        </w:rPr>
        <w:t>样品标签明示</w:t>
      </w:r>
      <w:r>
        <w:rPr>
          <w:rFonts w:hint="eastAsia" w:ascii="仿宋_GB2312" w:hAnsi="仿宋"/>
          <w:sz w:val="32"/>
          <w:szCs w:val="32"/>
          <w:lang w:eastAsia="zh-CN"/>
        </w:rPr>
        <w:t>不得使用铝类食品添加剂。</w:t>
      </w:r>
      <w:r>
        <w:rPr>
          <w:rFonts w:hint="eastAsia" w:ascii="仿宋_GB2312" w:hAnsi="仿宋" w:eastAsia="仿宋_GB2312" w:cs="仿宋_GB2312"/>
          <w:sz w:val="32"/>
          <w:szCs w:val="32"/>
        </w:rPr>
        <w:t>铝有一定的慢性毒性，摄入铝超标的食品，在体内可造成铝的蓄积，轻者会使食欲减退，引起贫血，重者会表现为神经毒性，使人运动失调、记忆力衰退等。</w:t>
      </w:r>
    </w:p>
    <w:p>
      <w:pPr>
        <w:spacing w:line="560" w:lineRule="exact"/>
        <w:ind w:firstLine="643" w:firstLineChars="200"/>
        <w:rPr>
          <w:rFonts w:ascii="楷体_GB2312" w:hAnsi="楷体" w:eastAsia="楷体_GB2312" w:cs="仿宋_GB2312"/>
          <w:b/>
          <w:sz w:val="32"/>
          <w:szCs w:val="32"/>
        </w:rPr>
      </w:pPr>
      <w:r>
        <w:rPr>
          <w:rFonts w:hint="eastAsia" w:ascii="楷体_GB2312" w:hAnsi="楷体" w:eastAsia="楷体_GB2312" w:cs="仿宋_GB2312"/>
          <w:b/>
          <w:sz w:val="32"/>
          <w:szCs w:val="32"/>
        </w:rPr>
        <w:t>（</w:t>
      </w:r>
      <w:r>
        <w:rPr>
          <w:rFonts w:hint="eastAsia" w:ascii="楷体_GB2312" w:hAnsi="楷体" w:eastAsia="楷体_GB2312" w:cs="仿宋_GB2312"/>
          <w:b/>
          <w:sz w:val="32"/>
          <w:szCs w:val="32"/>
          <w:lang w:eastAsia="zh-CN"/>
        </w:rPr>
        <w:t>八</w:t>
      </w:r>
      <w:r>
        <w:rPr>
          <w:rFonts w:hint="eastAsia" w:ascii="楷体_GB2312" w:hAnsi="楷体" w:eastAsia="楷体_GB2312" w:cs="仿宋_GB2312"/>
          <w:b/>
          <w:sz w:val="32"/>
          <w:szCs w:val="32"/>
        </w:rPr>
        <w:t>）脱氢乙酸及其钠盐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脱氢乙酸及其钠盐因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</w:rPr>
        <w:t>对霉菌具有较强的抑制作用而被广泛用作防腐剂使用。《食品安全国家标准 食品添加剂使用标准》（GB 2760-2014）中规定，</w:t>
      </w:r>
      <w:r>
        <w:rPr>
          <w:rFonts w:hint="eastAsia" w:ascii="仿宋_GB2312" w:hAnsi="仿宋"/>
          <w:color w:val="auto"/>
          <w:sz w:val="32"/>
          <w:szCs w:val="32"/>
          <w:lang w:eastAsia="zh-CN"/>
        </w:rPr>
        <w:t>糕点中脱氢乙酸及其钠盐(以脱氢乙酸计)应</w:t>
      </w:r>
      <w:r>
        <w:rPr>
          <w:rFonts w:hint="eastAsia" w:ascii="仿宋_GB2312" w:hAnsi="仿宋" w:eastAsia="仿宋_GB2312" w:cs="仿宋_GB2312"/>
          <w:sz w:val="32"/>
          <w:szCs w:val="32"/>
        </w:rPr>
        <w:t>≤</w:t>
      </w:r>
      <w:r>
        <w:rPr>
          <w:rFonts w:hint="eastAsia" w:ascii="仿宋_GB2312" w:hAnsi="仿宋" w:cs="仿宋_GB2312"/>
          <w:sz w:val="32"/>
          <w:szCs w:val="32"/>
          <w:lang w:val="en-US" w:eastAsia="zh-CN"/>
        </w:rPr>
        <w:t>0.5</w:t>
      </w:r>
      <w:r>
        <w:rPr>
          <w:rFonts w:hint="eastAsia" w:ascii="仿宋_GB2312" w:hAnsi="仿宋" w:eastAsia="仿宋_GB2312" w:cs="仿宋_GB2312"/>
          <w:sz w:val="32"/>
          <w:szCs w:val="32"/>
        </w:rPr>
        <w:t>g/kg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>由于脱氢乙酸可与血浆中的白蛋白或组织中蛋白质的胺基结合，若长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CN"/>
        </w:rPr>
        <w:t>期过量食用脱氢乙酸含量超标的食品可能会引起肝、肾和中枢神经系统的损伤。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二、建议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07" w:firstLineChars="220"/>
        <w:textAlignment w:val="auto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（一）加强原辅料的把控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食品原料的质量与卫生是食品质量安全的前提。食品生产经营单位应加强对所使用的原材料的质量管理，建立进货查验、索证索票和进货台账制度，查验供货者的许可证和包含必要检验项目的食品合格证明文件，不得采购腐败变质、发霉、质量不新鲜的食品原料，确保各种原辅料的质量符合标准的有关规定和要求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楷体_GB2312" w:hAnsi="楷体" w:eastAsia="楷体_GB2312"/>
          <w:b/>
          <w:color w:val="auto"/>
          <w:sz w:val="32"/>
          <w:szCs w:val="32"/>
        </w:rPr>
      </w:pPr>
      <w:r>
        <w:rPr>
          <w:rFonts w:hint="eastAsia" w:ascii="楷体_GB2312" w:hAnsi="楷体" w:eastAsia="楷体_GB2312"/>
          <w:b/>
          <w:color w:val="auto"/>
          <w:sz w:val="32"/>
          <w:szCs w:val="32"/>
        </w:rPr>
        <w:t>（二）加强食品出厂检验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食品生产企业要强化重视出厂检验的意识，制定切合自身且不断完善的出厂检验制度；建立完善的检测条件针对自身产品进行日常监管，制定出厂检验计划并严格执行，确保生产合格的产品；加强对生产的成品的检测频率，进行自检或送往具有相关资质的检测机构进行检测；建立健全产品召回机制，应对突发产品质量问题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cs="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0D4506"/>
    <w:rsid w:val="006B1DCC"/>
    <w:rsid w:val="00724BD2"/>
    <w:rsid w:val="008D6C99"/>
    <w:rsid w:val="00B977A2"/>
    <w:rsid w:val="00BE4BAD"/>
    <w:rsid w:val="010D4506"/>
    <w:rsid w:val="017D0269"/>
    <w:rsid w:val="03E020C5"/>
    <w:rsid w:val="03FD00B3"/>
    <w:rsid w:val="055921C9"/>
    <w:rsid w:val="066C5CEA"/>
    <w:rsid w:val="07C82C95"/>
    <w:rsid w:val="081209FA"/>
    <w:rsid w:val="091C5D20"/>
    <w:rsid w:val="0A101FAB"/>
    <w:rsid w:val="0AEA5DCE"/>
    <w:rsid w:val="0C455D22"/>
    <w:rsid w:val="0C6F4539"/>
    <w:rsid w:val="0CD4225F"/>
    <w:rsid w:val="0EA93008"/>
    <w:rsid w:val="0EC839C2"/>
    <w:rsid w:val="10AD16A7"/>
    <w:rsid w:val="1162065F"/>
    <w:rsid w:val="11B32DA0"/>
    <w:rsid w:val="11CE6913"/>
    <w:rsid w:val="1210526E"/>
    <w:rsid w:val="12AF7645"/>
    <w:rsid w:val="12B51B83"/>
    <w:rsid w:val="139A1CB2"/>
    <w:rsid w:val="141B2394"/>
    <w:rsid w:val="155219D3"/>
    <w:rsid w:val="15FE7C46"/>
    <w:rsid w:val="16396F4B"/>
    <w:rsid w:val="16A52765"/>
    <w:rsid w:val="176818BF"/>
    <w:rsid w:val="17FA5E44"/>
    <w:rsid w:val="181E6360"/>
    <w:rsid w:val="199008F8"/>
    <w:rsid w:val="19EB104A"/>
    <w:rsid w:val="1B042E72"/>
    <w:rsid w:val="1C2B3ECE"/>
    <w:rsid w:val="1EFD4E3F"/>
    <w:rsid w:val="1F456A61"/>
    <w:rsid w:val="200B2815"/>
    <w:rsid w:val="2103478D"/>
    <w:rsid w:val="231A399D"/>
    <w:rsid w:val="249A66FD"/>
    <w:rsid w:val="255973C6"/>
    <w:rsid w:val="257D0D7B"/>
    <w:rsid w:val="25D84592"/>
    <w:rsid w:val="274815F0"/>
    <w:rsid w:val="27D171E0"/>
    <w:rsid w:val="282A264F"/>
    <w:rsid w:val="29292876"/>
    <w:rsid w:val="29DF09A6"/>
    <w:rsid w:val="2D2D024C"/>
    <w:rsid w:val="2DA27B95"/>
    <w:rsid w:val="2E172668"/>
    <w:rsid w:val="2F4F707A"/>
    <w:rsid w:val="2FFC71C6"/>
    <w:rsid w:val="31AA7543"/>
    <w:rsid w:val="323F00BC"/>
    <w:rsid w:val="324700B2"/>
    <w:rsid w:val="348E513C"/>
    <w:rsid w:val="34B74329"/>
    <w:rsid w:val="35BC7A15"/>
    <w:rsid w:val="36A26439"/>
    <w:rsid w:val="38622AFA"/>
    <w:rsid w:val="387272BF"/>
    <w:rsid w:val="38865B2F"/>
    <w:rsid w:val="3B1904CB"/>
    <w:rsid w:val="3BAB1A67"/>
    <w:rsid w:val="3BFE4DC9"/>
    <w:rsid w:val="3CDD7A17"/>
    <w:rsid w:val="3E051E67"/>
    <w:rsid w:val="3E1079E4"/>
    <w:rsid w:val="3E88008E"/>
    <w:rsid w:val="3E984FE9"/>
    <w:rsid w:val="3EC80CDE"/>
    <w:rsid w:val="3F033412"/>
    <w:rsid w:val="3F685D87"/>
    <w:rsid w:val="428251DB"/>
    <w:rsid w:val="44141429"/>
    <w:rsid w:val="460F4F06"/>
    <w:rsid w:val="464A4562"/>
    <w:rsid w:val="4848609B"/>
    <w:rsid w:val="4864409A"/>
    <w:rsid w:val="48E60C18"/>
    <w:rsid w:val="49346CC6"/>
    <w:rsid w:val="4B37566A"/>
    <w:rsid w:val="4DAC348D"/>
    <w:rsid w:val="4EBC0748"/>
    <w:rsid w:val="4FE23640"/>
    <w:rsid w:val="4FED4605"/>
    <w:rsid w:val="503305EE"/>
    <w:rsid w:val="50561BEF"/>
    <w:rsid w:val="52A0415B"/>
    <w:rsid w:val="52FE47AC"/>
    <w:rsid w:val="533A17A5"/>
    <w:rsid w:val="53465E28"/>
    <w:rsid w:val="53FD7C6B"/>
    <w:rsid w:val="551B6EF1"/>
    <w:rsid w:val="557E5EAF"/>
    <w:rsid w:val="59E33FF0"/>
    <w:rsid w:val="59EA54F5"/>
    <w:rsid w:val="5C000884"/>
    <w:rsid w:val="5C240B88"/>
    <w:rsid w:val="5CC75BBD"/>
    <w:rsid w:val="5E214E94"/>
    <w:rsid w:val="5E7004E1"/>
    <w:rsid w:val="5ECD4C7F"/>
    <w:rsid w:val="6048573D"/>
    <w:rsid w:val="61E02C8B"/>
    <w:rsid w:val="62547A4D"/>
    <w:rsid w:val="638239E5"/>
    <w:rsid w:val="63E10B0C"/>
    <w:rsid w:val="6537764C"/>
    <w:rsid w:val="65E578BD"/>
    <w:rsid w:val="666A4D62"/>
    <w:rsid w:val="668A5EDC"/>
    <w:rsid w:val="67180D7A"/>
    <w:rsid w:val="67663F7B"/>
    <w:rsid w:val="6792245C"/>
    <w:rsid w:val="67AC56C6"/>
    <w:rsid w:val="6801069F"/>
    <w:rsid w:val="69130912"/>
    <w:rsid w:val="69CB77D8"/>
    <w:rsid w:val="6A323B2C"/>
    <w:rsid w:val="6C2646D1"/>
    <w:rsid w:val="6C721C9A"/>
    <w:rsid w:val="6C942E03"/>
    <w:rsid w:val="6D731B27"/>
    <w:rsid w:val="6E9610D2"/>
    <w:rsid w:val="6ECD36FF"/>
    <w:rsid w:val="6F1957D5"/>
    <w:rsid w:val="72A04A1F"/>
    <w:rsid w:val="72F24D9D"/>
    <w:rsid w:val="733275F5"/>
    <w:rsid w:val="738026E3"/>
    <w:rsid w:val="754B170B"/>
    <w:rsid w:val="75CA36CA"/>
    <w:rsid w:val="763955BF"/>
    <w:rsid w:val="77FC16E5"/>
    <w:rsid w:val="78BC4EF9"/>
    <w:rsid w:val="78C82F23"/>
    <w:rsid w:val="78FE0A2F"/>
    <w:rsid w:val="7A7C11A9"/>
    <w:rsid w:val="7B5E04A9"/>
    <w:rsid w:val="7C073518"/>
    <w:rsid w:val="7C4079FA"/>
    <w:rsid w:val="7F2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楷体_GB2312"/>
      <w:b/>
      <w:kern w:val="44"/>
    </w:rPr>
  </w:style>
  <w:style w:type="paragraph" w:styleId="5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0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before="120" w:after="120"/>
      <w:ind w:firstLine="480"/>
    </w:pPr>
    <w:rPr>
      <w:rFonts w:ascii="宋体" w:hAnsi="宋体"/>
      <w:sz w:val="24"/>
      <w:szCs w:val="20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本文正文"/>
    <w:basedOn w:val="1"/>
    <w:qFormat/>
    <w:uiPriority w:val="0"/>
    <w:pPr>
      <w:spacing w:line="360" w:lineRule="auto"/>
      <w:ind w:firstLine="803"/>
    </w:pPr>
    <w:rPr>
      <w:rFonts w:ascii="宋体" w:hAnsi="宋体"/>
      <w:sz w:val="24"/>
    </w:rPr>
  </w:style>
  <w:style w:type="character" w:customStyle="1" w:styleId="14">
    <w:name w:val="页眉 字符"/>
    <w:basedOn w:val="10"/>
    <w:link w:val="7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5">
    <w:name w:val="页脚 字符"/>
    <w:basedOn w:val="10"/>
    <w:link w:val="6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6">
    <w:name w:val="标题 2 字符"/>
    <w:basedOn w:val="10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华测检测认证集团股份有限公司</Company>
  <Pages>8</Pages>
  <Words>600</Words>
  <Characters>3426</Characters>
  <Lines>28</Lines>
  <Paragraphs>8</Paragraphs>
  <TotalTime>44</TotalTime>
  <ScaleCrop>false</ScaleCrop>
  <LinksUpToDate>false</LinksUpToDate>
  <CharactersWithSpaces>4018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2020-12-18T06:54:00Z</dcterms:created>
  <dc:creator>zhenyongwen</dc:creator>
  <cp:lastModifiedBy>韦慧勤</cp:lastModifiedBy>
  <dcterms:modified xsi:type="dcterms:W3CDTF">2021-05-13T07:39:51Z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2BCBADEB164F420AB7CA92621D404113</vt:lpwstr>
  </property>
</Properties>
</file>