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9" w:leftChars="209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-SA"/>
        </w:rPr>
        <w:t>拖拉机驾驶培训许可证核发“证照分离”改革全覆盖试点实施情况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100"/>
        <w:textAlignment w:val="auto"/>
        <w:rPr>
          <w:rFonts w:hint="default" w:ascii="宋体" w:hAnsi="宋体" w:eastAsia="宋体" w:cs="宋体"/>
          <w:b/>
          <w:bCs w:val="0"/>
          <w:kern w:val="44"/>
          <w:sz w:val="44"/>
          <w:szCs w:val="44"/>
          <w:lang w:val="en-US" w:eastAsia="zh-CN" w:bidi="ar-SA"/>
        </w:rPr>
      </w:pPr>
    </w:p>
    <w:p/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东省人民政府转发&lt;国务院关于同意广东省“十二五”时期深化行政审批制度改革先行先试的批复&gt;的通知》（粤府函〔2012〕335号），“拖拉机驾驶培训许可证核发”审批事项自2012年10月31日起下放至地级以上农业部门实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广东省政府《关于调整实施一批省级权责清单事项的决定》（省政府令第270号），该事项自2020年2月15日起委托地级以上市实施。按照省农业农村厅2020年第11号公告，省农业农村厅未将该事项委托给深圳市实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71EB"/>
    <w:rsid w:val="21755B22"/>
    <w:rsid w:val="2DA95393"/>
    <w:rsid w:val="39A54646"/>
    <w:rsid w:val="3F70636E"/>
    <w:rsid w:val="5732560A"/>
    <w:rsid w:val="5FD57D73"/>
    <w:rsid w:val="600E449C"/>
    <w:rsid w:val="790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5">
    <w:name w:val="Heading3"/>
    <w:basedOn w:val="1"/>
    <w:next w:val="1"/>
    <w:qFormat/>
    <w:uiPriority w:val="0"/>
    <w:pPr>
      <w:keepNext/>
      <w:keepLines/>
      <w:spacing w:before="260" w:after="260" w:line="590" w:lineRule="exact"/>
      <w:ind w:firstLine="643"/>
    </w:pPr>
    <w:rPr>
      <w:b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wangjia</dc:creator>
  <cp:lastModifiedBy>贾呈祥</cp:lastModifiedBy>
  <dcterms:modified xsi:type="dcterms:W3CDTF">2020-03-25T10:05:21Z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