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生鲜乳准运证明核发“证照分离”改革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全覆盖试点实施方案</w:t>
      </w:r>
    </w:p>
    <w:p/>
    <w:p>
      <w:pPr>
        <w:snapToGrid w:val="0"/>
        <w:spacing w:line="600" w:lineRule="exact"/>
        <w:ind w:firstLine="664"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审批服务处、畜牧和兽医管理处</w:t>
      </w:r>
    </w:p>
    <w:p>
      <w:pPr>
        <w:ind w:firstLine="632"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《广东省开展“证照分离”改革全覆盖试点实施方案》（粤府函〔2019〕405号）、《深圳市开展“证照分离”改革全覆盖试点实施方案》（深府函〔2020〕24号），</w:t>
      </w:r>
      <w:r>
        <w:rPr>
          <w:rFonts w:hint="eastAsia" w:ascii="仿宋_GB2312" w:hAnsi="仿宋_GB2312" w:eastAsia="仿宋_GB2312" w:cs="仿宋_GB2312"/>
          <w:sz w:val="32"/>
          <w:szCs w:val="32"/>
          <w:lang w:val="en-US" w:eastAsia="zh-CN"/>
        </w:rPr>
        <w:t>对“生鲜乳准运证明核发”，实行告知承诺或优化审批服务。</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自贸试验区范围内，实行告知承诺。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p>
      <w:pPr>
        <w:ind w:firstLine="63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（二）在自贸试验区范围外，实施优化审批服务：实现申请、审批网上办理，将审批时限由20个工作日压减为8个工作日。</w:t>
      </w:r>
    </w:p>
    <w:p>
      <w:pPr>
        <w:ind w:firstLine="632"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三、法律依据</w:t>
      </w:r>
    </w:p>
    <w:p>
      <w:pPr>
        <w:spacing w:line="59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b w:val="0"/>
          <w:bCs w:val="0"/>
          <w:sz w:val="32"/>
          <w:szCs w:val="32"/>
          <w:lang w:val="en-US" w:eastAsia="zh-CN"/>
        </w:rPr>
        <w:t>《乳品质量安全监督管理条例》第二十五条；</w:t>
      </w:r>
    </w:p>
    <w:p>
      <w:pPr>
        <w:spacing w:line="59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b w:val="0"/>
          <w:bCs w:val="0"/>
          <w:sz w:val="32"/>
          <w:szCs w:val="32"/>
          <w:lang w:val="en-US" w:eastAsia="zh-CN"/>
        </w:rPr>
        <w:t>《生鲜乳生产收购管理办法》</w:t>
      </w:r>
      <w:r>
        <w:rPr>
          <w:rFonts w:hint="eastAsia" w:ascii="仿宋_GB2312" w:hAnsi="仿宋_GB2312" w:eastAsia="仿宋_GB2312" w:cs="仿宋_GB2312"/>
          <w:sz w:val="32"/>
          <w:szCs w:val="32"/>
          <w:lang w:val="en-US" w:eastAsia="zh-CN"/>
        </w:rPr>
        <w:t>（原农业部令2008年第15号）</w:t>
      </w:r>
      <w:r>
        <w:rPr>
          <w:rFonts w:hint="eastAsia" w:ascii="仿宋_GB2312" w:hAnsi="仿宋_GB2312" w:eastAsia="仿宋_GB2312" w:cs="仿宋_GB2312"/>
          <w:b w:val="0"/>
          <w:bCs w:val="0"/>
          <w:sz w:val="32"/>
          <w:szCs w:val="32"/>
          <w:lang w:val="en-US" w:eastAsia="zh-CN"/>
        </w:rPr>
        <w:t>第二十六条、第二十七条。</w:t>
      </w:r>
    </w:p>
    <w:p>
      <w:pPr>
        <w:numPr>
          <w:ilvl w:val="0"/>
          <w:numId w:val="0"/>
        </w:numPr>
        <w:ind w:firstLine="632" w:firstLineChars="200"/>
        <w:rPr>
          <w:rFonts w:hint="eastAsia" w:ascii="仿宋_GB2312" w:hAnsi="仿宋_GB2312" w:eastAsia="仿宋_GB2312" w:cs="仿宋_GB2312"/>
          <w:kern w:val="2"/>
          <w:sz w:val="32"/>
          <w:szCs w:val="32"/>
          <w:lang w:val="en-US" w:eastAsia="zh-CN" w:bidi="ar-SA"/>
        </w:rPr>
      </w:pPr>
      <w:r>
        <w:rPr>
          <w:rFonts w:hint="eastAsia" w:ascii="宋体" w:hAnsi="宋体" w:eastAsia="宋体" w:cs="宋体"/>
          <w:b/>
          <w:bCs/>
          <w:sz w:val="32"/>
          <w:szCs w:val="32"/>
          <w:lang w:val="en-US" w:eastAsia="zh-CN"/>
        </w:rPr>
        <w:t>四、审批条件</w:t>
      </w:r>
    </w:p>
    <w:p>
      <w:pPr>
        <w:numPr>
          <w:ilvl w:val="0"/>
          <w:numId w:val="0"/>
        </w:numPr>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（一）符合生鲜乳收购站建设规划布局；</w:t>
      </w:r>
    </w:p>
    <w:p>
      <w:pPr>
        <w:pStyle w:val="4"/>
        <w:keepNext w:val="0"/>
        <w:keepLines w:val="0"/>
        <w:widowControl/>
        <w:suppressLineNumbers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（二）有符合环保和卫生要求的收购场所；</w:t>
      </w:r>
    </w:p>
    <w:p>
      <w:pPr>
        <w:pStyle w:val="4"/>
        <w:keepNext w:val="0"/>
        <w:keepLines w:val="0"/>
        <w:widowControl/>
        <w:suppressLineNumbers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（三）有与收奶量相适应的冷却、冷藏、保鲜设施和低温运输设备；</w:t>
      </w:r>
    </w:p>
    <w:p>
      <w:pPr>
        <w:pStyle w:val="4"/>
        <w:keepNext w:val="0"/>
        <w:keepLines w:val="0"/>
        <w:widowControl/>
        <w:suppressLineNumbers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（四）有与检测项目相适应的化验、计量、检测仪器设备；</w:t>
      </w:r>
    </w:p>
    <w:p>
      <w:pPr>
        <w:pStyle w:val="4"/>
        <w:keepNext w:val="0"/>
        <w:keepLines w:val="0"/>
        <w:widowControl/>
        <w:suppressLineNumbers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（五）有经培训合格并持有有效健康证明的从业人员；</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（六）有卫生管理和质量安全保障制度。</w:t>
      </w:r>
    </w:p>
    <w:p>
      <w:pPr>
        <w:pStyle w:val="4"/>
        <w:keepNext w:val="0"/>
        <w:keepLines w:val="0"/>
        <w:widowControl/>
        <w:suppressLineNumbers w:val="0"/>
        <w:ind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w:t>
      </w:r>
      <w:r>
        <w:rPr>
          <w:rFonts w:hint="default" w:ascii="仿宋_GB2312" w:hAnsi="仿宋_GB2312" w:eastAsia="仿宋_GB2312" w:cs="仿宋_GB2312"/>
          <w:kern w:val="2"/>
          <w:sz w:val="32"/>
          <w:szCs w:val="32"/>
          <w:lang w:val="en-US" w:eastAsia="zh-CN" w:bidi="ar-SA"/>
        </w:rPr>
        <w:t>生鲜乳运输车辆应当具备以下条件:</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奶罐隔热、保温，内壁由防腐蚀材料制造，对生鲜乳质量安全没有影响;</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奶罐外壁用坚硬光滑、防腐、可冲洗的防水材料制造;</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default" w:ascii="仿宋_GB2312" w:hAnsi="仿宋_GB2312" w:eastAsia="仿宋_GB2312" w:cs="仿宋_GB2312"/>
          <w:kern w:val="2"/>
          <w:sz w:val="32"/>
          <w:szCs w:val="32"/>
          <w:lang w:val="en-US" w:eastAsia="zh-CN" w:bidi="ar-SA"/>
        </w:rPr>
        <w:t>奶罐设有奶样存放舱和装备隔离箱，保持清洁卫生，避免尘土污染;</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r>
        <w:rPr>
          <w:rFonts w:hint="default" w:ascii="仿宋_GB2312" w:hAnsi="仿宋_GB2312" w:eastAsia="仿宋_GB2312" w:cs="仿宋_GB2312"/>
          <w:kern w:val="2"/>
          <w:sz w:val="32"/>
          <w:szCs w:val="32"/>
          <w:lang w:val="en-US" w:eastAsia="zh-CN" w:bidi="ar-SA"/>
        </w:rPr>
        <w:t>奶罐密封材料耐脂肪、无毒，在温度正常的情况下具有耐清洗剂的能力;</w:t>
      </w:r>
    </w:p>
    <w:p>
      <w:pPr>
        <w:pStyle w:val="4"/>
        <w:keepNext w:val="0"/>
        <w:keepLines w:val="0"/>
        <w:widowControl/>
        <w:suppressLineNumbers w:val="0"/>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r>
        <w:rPr>
          <w:rFonts w:hint="default" w:ascii="仿宋_GB2312" w:hAnsi="仿宋_GB2312" w:eastAsia="仿宋_GB2312" w:cs="仿宋_GB2312"/>
          <w:kern w:val="2"/>
          <w:sz w:val="32"/>
          <w:szCs w:val="32"/>
          <w:lang w:val="en-US" w:eastAsia="zh-CN" w:bidi="ar-SA"/>
        </w:rPr>
        <w:t>奶车顶盖装置、通气和防尘罩设计合理，防止奶罐和生鲜乳受到污染。</w:t>
      </w:r>
    </w:p>
    <w:p>
      <w:pPr>
        <w:ind w:firstLine="632"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五、材料要求</w:t>
      </w:r>
    </w:p>
    <w:p>
      <w:pPr>
        <w:pStyle w:val="4"/>
        <w:keepNext w:val="0"/>
        <w:keepLines w:val="0"/>
        <w:widowControl/>
        <w:numPr>
          <w:ilvl w:val="0"/>
          <w:numId w:val="2"/>
        </w:numPr>
        <w:suppressLineNumbers w:val="0"/>
        <w:ind w:left="0" w:leftChars="0" w:firstLine="42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生鲜乳准运证明申请书（附件1）</w:t>
      </w:r>
    </w:p>
    <w:p>
      <w:pPr>
        <w:pStyle w:val="4"/>
        <w:keepNext w:val="0"/>
        <w:keepLines w:val="0"/>
        <w:widowControl/>
        <w:numPr>
          <w:ilvl w:val="0"/>
          <w:numId w:val="2"/>
        </w:numPr>
        <w:suppressLineNumbers w:val="0"/>
        <w:ind w:left="0" w:leftChars="0" w:firstLine="42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承诺书（附件2）</w:t>
      </w:r>
    </w:p>
    <w:p>
      <w:pPr>
        <w:pStyle w:val="4"/>
        <w:keepNext w:val="0"/>
        <w:keepLines w:val="0"/>
        <w:widowControl/>
        <w:numPr>
          <w:ilvl w:val="0"/>
          <w:numId w:val="2"/>
        </w:numPr>
        <w:suppressLineNumbers w:val="0"/>
        <w:ind w:left="0" w:leftChars="0" w:firstLine="42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车辆行驶证复印件</w:t>
      </w:r>
    </w:p>
    <w:p>
      <w:pPr>
        <w:pStyle w:val="4"/>
        <w:keepNext w:val="0"/>
        <w:keepLines w:val="0"/>
        <w:widowControl/>
        <w:numPr>
          <w:ilvl w:val="0"/>
          <w:numId w:val="2"/>
        </w:numPr>
        <w:suppressLineNumbers w:val="0"/>
        <w:ind w:left="0" w:leftChars="0" w:firstLine="42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营业执照复印件及法人代表身份证明复印件（广东政务服务网中已实现电子证照关联的，免于提交）</w:t>
      </w:r>
    </w:p>
    <w:p>
      <w:pPr>
        <w:pStyle w:val="4"/>
        <w:keepNext w:val="0"/>
        <w:keepLines w:val="0"/>
        <w:widowControl/>
        <w:numPr>
          <w:ilvl w:val="0"/>
          <w:numId w:val="2"/>
        </w:numPr>
        <w:suppressLineNumbers w:val="0"/>
        <w:ind w:left="0" w:leftChars="0" w:firstLine="42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驶员、押运员健康证明复印件</w:t>
      </w:r>
    </w:p>
    <w:p>
      <w:pPr>
        <w:ind w:firstLine="632"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（一）自贸试验区内的企业提出申请并承诺符合条件，对材料进行审查，符合条件的</w:t>
      </w:r>
      <w:r>
        <w:rPr>
          <w:rFonts w:hint="eastAsia" w:ascii="仿宋_GB2312" w:hAnsi="仿宋_GB2312" w:eastAsia="仿宋_GB2312" w:cs="仿宋_GB2312"/>
          <w:sz w:val="32"/>
          <w:szCs w:val="32"/>
          <w:lang w:val="en-US" w:eastAsia="zh-CN"/>
        </w:rPr>
        <w:t>当场作出审批决定。</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（二）自贸试验区外的企业：</w:t>
      </w:r>
    </w:p>
    <w:p>
      <w:pPr>
        <w:ind w:firstLine="63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1、申请人登录广东省政务服务网，</w:t>
      </w:r>
      <w:r>
        <w:rPr>
          <w:rFonts w:hint="eastAsia" w:ascii="仿宋_GB2312" w:hAnsi="仿宋_GB2312" w:eastAsia="仿宋_GB2312" w:cs="仿宋_GB2312"/>
          <w:color w:val="auto"/>
          <w:sz w:val="32"/>
          <w:szCs w:val="32"/>
          <w:lang w:val="en-US" w:eastAsia="zh-CN"/>
        </w:rPr>
        <w:t>点击页面上“在线申办”按钮，填写相关信息和提交材料或到所在区政务服务大厅窗口申办；</w:t>
      </w:r>
    </w:p>
    <w:p>
      <w:pPr>
        <w:ind w:firstLine="63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2、受理:材料符合要求的，给予受理;对申请材料不齐全或不符合规定条件的，在收到申请材料之日起5个工作日内，一次告知申请人需补正的内容;</w:t>
      </w:r>
    </w:p>
    <w:p>
      <w:pPr>
        <w:ind w:firstLine="63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3、承办部门对已受理的材料进行书面和现场验收审查，审查合格的8个工作日内作出审批决定；审查不合格的，书面通知申请人，并说明理由;</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4、核准办结后,根据提交材料时申请人的需求，审批结果通过窗口自取或快递寄送。</w:t>
      </w:r>
    </w:p>
    <w:p>
      <w:pPr>
        <w:ind w:firstLine="632"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七、其他情形</w:t>
      </w:r>
    </w:p>
    <w:p>
      <w:pPr>
        <w:ind w:firstLine="632" w:firstLineChars="200"/>
        <w:rPr>
          <w:rFonts w:hint="eastAsia" w:ascii="宋体" w:hAnsi="宋体" w:eastAsia="宋体" w:cs="宋体"/>
          <w:b/>
          <w:bCs/>
          <w:color w:val="auto"/>
          <w:sz w:val="32"/>
          <w:szCs w:val="32"/>
          <w:lang w:val="en-US" w:eastAsia="zh-CN"/>
        </w:rPr>
      </w:pPr>
      <w:r>
        <w:rPr>
          <w:rFonts w:hint="eastAsia" w:ascii="仿宋_GB2312" w:hAnsi="仿宋_GB2312" w:eastAsia="仿宋_GB2312" w:cs="仿宋_GB2312"/>
          <w:sz w:val="32"/>
          <w:szCs w:val="32"/>
          <w:lang w:val="en-US" w:eastAsia="zh-CN"/>
        </w:rPr>
        <w:t>生鲜乳准运证明变更等</w:t>
      </w:r>
      <w:r>
        <w:rPr>
          <w:rFonts w:hint="eastAsia" w:ascii="仿宋_GB2312" w:hAnsi="仿宋_GB2312" w:eastAsia="仿宋_GB2312" w:cs="仿宋_GB2312"/>
          <w:color w:val="auto"/>
          <w:sz w:val="32"/>
          <w:szCs w:val="32"/>
          <w:lang w:val="en-US" w:eastAsia="zh-CN"/>
        </w:rPr>
        <w:t>其他情形的办理，在自贸试验区范围内：实</w:t>
      </w:r>
      <w:r>
        <w:rPr>
          <w:rFonts w:hint="eastAsia" w:ascii="仿宋_GB2312" w:hAnsi="仿宋_GB2312" w:eastAsia="仿宋_GB2312" w:cs="仿宋_GB2312"/>
          <w:sz w:val="32"/>
          <w:szCs w:val="32"/>
          <w:lang w:val="en-US" w:eastAsia="zh-CN"/>
        </w:rPr>
        <w:t>行告知承诺，申请人承诺符合条件并提交材料的，当场作出审批决定；在自贸试验区范围外：相关审批条件、材料要求及程序环节详见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ind w:firstLine="632"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八、监管措施</w:t>
      </w:r>
    </w:p>
    <w:p>
      <w:pPr>
        <w:numPr>
          <w:ilvl w:val="0"/>
          <w:numId w:val="3"/>
        </w:numPr>
        <w:ind w:left="0" w:leftChars="0" w:firstLine="398" w:firstLineChars="126"/>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依据《生鲜乳生产收购管理办法》第五章“监督检查”实施监管。</w:t>
      </w:r>
    </w:p>
    <w:p>
      <w:pPr>
        <w:numPr>
          <w:ilvl w:val="0"/>
          <w:numId w:val="3"/>
        </w:numPr>
        <w:ind w:left="0" w:leftChars="0" w:firstLine="398" w:firstLineChars="126"/>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i w:val="0"/>
          <w:color w:val="auto"/>
          <w:kern w:val="0"/>
          <w:sz w:val="32"/>
          <w:szCs w:val="32"/>
          <w:highlight w:val="none"/>
          <w:u w:val="none"/>
          <w:lang w:val="en-US" w:eastAsia="zh-CN" w:bidi="ar"/>
        </w:rPr>
        <w:t>实施分级分类监管，实行“双随机、一公开”和重点监管，发现违法违规行为的要依法查处并公开结果。</w:t>
      </w:r>
    </w:p>
    <w:p>
      <w:pPr>
        <w:numPr>
          <w:ilvl w:val="0"/>
          <w:numId w:val="3"/>
        </w:numPr>
        <w:ind w:left="0" w:leftChars="0" w:firstLine="398" w:firstLineChars="126"/>
        <w:rPr>
          <w:rFonts w:hint="eastAsia" w:ascii="仿宋" w:hAnsi="仿宋" w:eastAsia="仿宋" w:cs="仿宋"/>
          <w:b w:val="0"/>
          <w:bCs w:val="0"/>
          <w:color w:val="auto"/>
          <w:sz w:val="32"/>
          <w:szCs w:val="32"/>
          <w:lang w:val="en-US" w:eastAsia="zh-CN"/>
        </w:rPr>
      </w:pPr>
      <w:r>
        <w:rPr>
          <w:rFonts w:hint="eastAsia" w:ascii="仿宋" w:hAnsi="仿宋" w:eastAsia="仿宋" w:cs="仿宋"/>
          <w:i w:val="0"/>
          <w:color w:val="auto"/>
          <w:kern w:val="0"/>
          <w:sz w:val="32"/>
          <w:szCs w:val="32"/>
          <w:highlight w:val="none"/>
          <w:u w:val="none"/>
          <w:lang w:val="en-US" w:eastAsia="zh-CN" w:bidi="ar"/>
        </w:rPr>
        <w:t>加强对生鲜乳运输车辆的监管，将车辆全部纳入监管监测信息系统，实时掌握运营情况。</w:t>
      </w:r>
    </w:p>
    <w:p>
      <w:pPr>
        <w:numPr>
          <w:ilvl w:val="0"/>
          <w:numId w:val="3"/>
        </w:numPr>
        <w:ind w:left="0" w:leftChars="0" w:firstLine="398" w:firstLineChars="126"/>
        <w:rPr>
          <w:rFonts w:hint="eastAsia" w:ascii="仿宋" w:hAnsi="仿宋" w:eastAsia="仿宋" w:cs="仿宋"/>
          <w:b w:val="0"/>
          <w:bCs w:val="0"/>
          <w:color w:val="auto"/>
          <w:sz w:val="32"/>
          <w:szCs w:val="32"/>
          <w:lang w:val="en-US" w:eastAsia="zh-CN"/>
        </w:rPr>
      </w:pPr>
      <w:r>
        <w:rPr>
          <w:rFonts w:hint="eastAsia" w:ascii="仿宋" w:hAnsi="仿宋" w:eastAsia="仿宋" w:cs="仿宋"/>
          <w:i w:val="0"/>
          <w:color w:val="auto"/>
          <w:kern w:val="0"/>
          <w:sz w:val="32"/>
          <w:szCs w:val="32"/>
          <w:highlight w:val="none"/>
          <w:u w:val="none"/>
          <w:lang w:val="en-US" w:eastAsia="zh-CN" w:bidi="ar"/>
        </w:rPr>
        <w:t>被审批人的承诺履行情况纳入信用记录，作为分级分类监管的依据，在行政管理、公共服务和政府采购等活动中作为重要参考。</w:t>
      </w:r>
    </w:p>
    <w:p>
      <w:pPr>
        <w:rPr>
          <w:color w:val="0000FF"/>
        </w:rPr>
      </w:pPr>
    </w:p>
    <w:p/>
    <w:p/>
    <w:p/>
    <w:p/>
    <w:p/>
    <w:p>
      <w:pPr>
        <w:pStyle w:val="10"/>
      </w:pPr>
    </w:p>
    <w:p/>
    <w:p>
      <w:pPr>
        <w:snapToGrid w:val="0"/>
        <w:rPr>
          <w:rFonts w:hint="eastAsia" w:ascii="仿宋_GB2312" w:hAnsi="仿宋_GB2312" w:eastAsia="仿宋_GB2312" w:cs="仿宋_GB2312"/>
          <w:sz w:val="32"/>
          <w:szCs w:val="32"/>
          <w:lang w:eastAsia="zh-CN"/>
        </w:rPr>
      </w:pPr>
    </w:p>
    <w:p>
      <w:pPr>
        <w:snapToGrid w:val="0"/>
        <w:rPr>
          <w:rFonts w:hint="eastAsia" w:ascii="仿宋_GB2312" w:hAnsi="仿宋_GB2312" w:eastAsia="仿宋_GB2312" w:cs="仿宋_GB2312"/>
          <w:sz w:val="32"/>
          <w:szCs w:val="32"/>
          <w:lang w:eastAsia="zh-CN"/>
        </w:rPr>
      </w:pPr>
    </w:p>
    <w:p>
      <w:pPr>
        <w:snapToGrid w:val="0"/>
        <w:rPr>
          <w:rFonts w:hint="eastAsia" w:ascii="仿宋_GB2312" w:hAnsi="仿宋_GB2312" w:eastAsia="仿宋_GB2312" w:cs="仿宋_GB2312"/>
          <w:sz w:val="32"/>
          <w:szCs w:val="32"/>
          <w:lang w:eastAsia="zh-CN"/>
        </w:rPr>
      </w:pPr>
    </w:p>
    <w:p>
      <w:pPr>
        <w:snapToGrid w:val="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napToGrid w:val="0"/>
        <w:rPr>
          <w:rFonts w:hint="eastAsia"/>
        </w:rPr>
      </w:pPr>
    </w:p>
    <w:p>
      <w:pPr>
        <w:snapToGrid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准运证明编号：</w:t>
      </w:r>
    </w:p>
    <w:p>
      <w:pPr>
        <w:snapToGrid w:val="0"/>
        <w:rPr>
          <w:rFonts w:hint="eastAsia" w:ascii="仿宋_GB2312" w:hAnsi="仿宋_GB2312" w:eastAsia="仿宋_GB2312" w:cs="仿宋_GB2312"/>
          <w:kern w:val="2"/>
          <w:sz w:val="32"/>
          <w:szCs w:val="32"/>
          <w:lang w:val="en-US" w:eastAsia="zh-CN" w:bidi="ar-SA"/>
        </w:rPr>
      </w:pPr>
    </w:p>
    <w:p>
      <w:pPr>
        <w:snapToGrid w:val="0"/>
        <w:rPr>
          <w:rFonts w:hint="eastAsia" w:ascii="宋体" w:hAnsi="宋体"/>
          <w:bCs/>
          <w:szCs w:val="32"/>
        </w:rPr>
      </w:pPr>
    </w:p>
    <w:p>
      <w:pPr>
        <w:snapToGrid w:val="0"/>
        <w:rPr>
          <w:rFonts w:hint="eastAsia" w:ascii="宋体" w:hAnsi="宋体"/>
          <w:bCs/>
          <w:szCs w:val="32"/>
        </w:rPr>
      </w:pPr>
    </w:p>
    <w:p>
      <w:pPr>
        <w:snapToGrid w:val="0"/>
        <w:rPr>
          <w:rFonts w:hint="eastAsia" w:ascii="宋体" w:hAnsi="宋体"/>
          <w:bCs/>
          <w:szCs w:val="32"/>
        </w:rPr>
      </w:pPr>
    </w:p>
    <w:p>
      <w:pPr>
        <w:snapToGrid w:val="0"/>
        <w:jc w:val="center"/>
        <w:rPr>
          <w:rFonts w:hint="eastAsia" w:ascii="方正小标宋简体" w:hAnsi="宋体" w:eastAsia="方正小标宋简体"/>
          <w:bCs/>
          <w:sz w:val="40"/>
          <w:szCs w:val="40"/>
        </w:rPr>
      </w:pPr>
      <w:r>
        <w:rPr>
          <w:rFonts w:hint="eastAsia" w:ascii="方正小标宋简体" w:hAnsi="宋体" w:eastAsia="方正小标宋简体"/>
          <w:b/>
          <w:bCs w:val="0"/>
          <w:sz w:val="40"/>
          <w:szCs w:val="40"/>
        </w:rPr>
        <w:t>生鲜乳准运证明申请书</w:t>
      </w:r>
    </w:p>
    <w:p>
      <w:pPr>
        <w:snapToGrid w:val="0"/>
        <w:jc w:val="center"/>
        <w:rPr>
          <w:rFonts w:hint="eastAsia"/>
          <w:b/>
          <w:bCs/>
          <w:sz w:val="52"/>
        </w:rPr>
      </w:pPr>
      <w:r>
        <w:t xml:space="preserve">                             </w:t>
      </w:r>
      <w:r>
        <w:rPr>
          <w:b/>
          <w:bCs/>
          <w:sz w:val="52"/>
        </w:rPr>
        <w:t> </w:t>
      </w:r>
    </w:p>
    <w:p>
      <w:pPr>
        <w:snapToGrid w:val="0"/>
        <w:jc w:val="center"/>
        <w:rPr>
          <w:rFonts w:hint="eastAsia"/>
          <w:b/>
          <w:bCs/>
          <w:sz w:val="52"/>
        </w:rPr>
      </w:pPr>
    </w:p>
    <w:p>
      <w:pPr>
        <w:snapToGrid w:val="0"/>
        <w:jc w:val="center"/>
        <w:rPr>
          <w:rFonts w:hint="eastAsia" w:eastAsia="仿宋_GB2312"/>
          <w:sz w:val="52"/>
        </w:rPr>
      </w:pP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车牌号码：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车辆所有者（公章或签名）：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联系电话：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核定最大运载量（吨）：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申证类型：     □首次           □换证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申请日期：                                 </w:t>
      </w: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p>
    <w:p>
      <w:pPr>
        <w:pStyle w:val="4"/>
        <w:keepNext w:val="0"/>
        <w:keepLines w:val="0"/>
        <w:widowControl/>
        <w:suppressLineNumbers w:val="0"/>
        <w:ind w:firstLine="632" w:firstLineChars="200"/>
        <w:jc w:val="both"/>
        <w:rPr>
          <w:rFonts w:hint="eastAsia" w:ascii="仿宋_GB2312" w:hAnsi="仿宋_GB2312" w:eastAsia="仿宋_GB2312" w:cs="仿宋_GB2312"/>
          <w:kern w:val="2"/>
          <w:sz w:val="32"/>
          <w:szCs w:val="32"/>
          <w:lang w:val="en-US" w:eastAsia="zh-CN" w:bidi="ar-SA"/>
        </w:rPr>
      </w:pPr>
    </w:p>
    <w:p>
      <w:pPr>
        <w:snapToGrid w:val="0"/>
        <w:jc w:val="center"/>
        <w:rPr>
          <w:rFonts w:hint="eastAsia"/>
          <w:bCs/>
          <w:sz w:val="44"/>
        </w:rPr>
      </w:pPr>
    </w:p>
    <w:p>
      <w:pPr>
        <w:snapToGrid w:val="0"/>
        <w:jc w:val="center"/>
        <w:rPr>
          <w:rFonts w:hint="eastAsia"/>
          <w:bCs/>
          <w:sz w:val="44"/>
        </w:rPr>
      </w:pPr>
    </w:p>
    <w:p>
      <w:pPr>
        <w:snapToGrid w:val="0"/>
        <w:jc w:val="center"/>
        <w:rPr>
          <w:rFonts w:hint="eastAsia"/>
          <w:bCs/>
          <w:sz w:val="44"/>
        </w:rPr>
      </w:pPr>
    </w:p>
    <w:p>
      <w:pPr>
        <w:snapToGrid w:val="0"/>
        <w:rPr>
          <w:rFonts w:hint="eastAsia" w:ascii="仿宋_GB2312" w:hAnsi="仿宋_GB2312" w:eastAsia="仿宋_GB2312" w:cs="仿宋_GB2312"/>
          <w:kern w:val="2"/>
          <w:sz w:val="32"/>
          <w:szCs w:val="32"/>
          <w:lang w:val="en-US" w:eastAsia="zh-CN" w:bidi="ar-SA"/>
        </w:rPr>
      </w:pPr>
      <w:r>
        <w:rPr>
          <w:bCs/>
          <w:sz w:val="44"/>
        </w:rPr>
        <w:t> </w:t>
      </w:r>
    </w:p>
    <w:p>
      <w:pPr>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广东省农业厅  制</w:t>
      </w:r>
    </w:p>
    <w:p>
      <w:pPr>
        <w:snapToGrid w:val="0"/>
        <w:ind w:firstLine="3476" w:firstLineChars="1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二○一六年</w:t>
      </w:r>
    </w:p>
    <w:p>
      <w:pPr>
        <w:spacing w:line="590" w:lineRule="exact"/>
        <w:jc w:val="center"/>
        <w:rPr>
          <w:rFonts w:hint="eastAsia" w:ascii="方正小标宋简体" w:eastAsia="方正小标宋简体"/>
          <w:b/>
          <w:bCs/>
          <w:sz w:val="40"/>
          <w:szCs w:val="40"/>
        </w:rPr>
      </w:pPr>
      <w:r>
        <w:rPr>
          <w:rFonts w:hint="eastAsia" w:ascii="仿宋_GB2312" w:hAnsi="仿宋_GB2312" w:eastAsia="仿宋_GB2312" w:cs="仿宋_GB2312"/>
          <w:kern w:val="2"/>
          <w:sz w:val="32"/>
          <w:szCs w:val="32"/>
          <w:lang w:val="en-US" w:eastAsia="zh-CN" w:bidi="ar-SA"/>
        </w:rPr>
        <w:br w:type="page"/>
      </w:r>
      <w:r>
        <w:rPr>
          <w:rFonts w:hint="eastAsia" w:ascii="方正小标宋简体" w:eastAsia="方正小标宋简体"/>
          <w:b/>
          <w:bCs/>
          <w:sz w:val="40"/>
          <w:szCs w:val="40"/>
        </w:rPr>
        <w:t>填 写 说 明</w:t>
      </w:r>
    </w:p>
    <w:p>
      <w:pPr>
        <w:spacing w:line="590" w:lineRule="exact"/>
        <w:jc w:val="center"/>
        <w:rPr>
          <w:rFonts w:hint="eastAsia" w:ascii="仿宋_GB2312" w:eastAsia="仿宋_GB2312"/>
          <w:szCs w:val="32"/>
        </w:rPr>
      </w:pPr>
    </w:p>
    <w:p>
      <w:pPr>
        <w:spacing w:line="590" w:lineRule="exact"/>
        <w:ind w:firstLine="63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本申请书格式由广东省农业厅统一规定。封面准运证明编号由县级畜牧兽医部门同意发证后统一编写。编号由汉字和阿拉伯数字组成，共15位，由汉字和阿拉伯数字组成，首位是“粤”，第2位至第7位是县级行政区域代码；第8位至第11位为年份号，并加括号；第12位至第15位为顺序号。</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二、本申请书由车辆所有者填写，需用A4纸双面打印，字迹清楚，内容真实准确，不得随意涂改。 </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三、需上报的其它材料：</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1.车辆行驶证复印件；</w:t>
      </w:r>
    </w:p>
    <w:p>
      <w:pPr>
        <w:spacing w:line="590" w:lineRule="exact"/>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2.车辆所有者是单位的，提供营业执照复印件及法人代表身份证明复印件，车辆所有者是个人的，提供个人身份证明复印件；</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3.驾驶员、押运员健康证明复印件；</w:t>
      </w:r>
    </w:p>
    <w:p>
      <w:pPr>
        <w:spacing w:line="590" w:lineRule="exact"/>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4.申请换证的，还需附上原《生鲜乳准运证明》。</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四、申请人将申请书和以上材料装订成册，一式二份，上报县级畜牧兽医部门一份，自留存档一份。发证后，县级畜牧兽医部门将《生鲜乳准运证明》复印件，分别报省级和市级畜牧兽医主管部门各一份。</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五、此表适用于首次申请和换发《生鲜乳准运证明》。</w:t>
      </w:r>
    </w:p>
    <w:p>
      <w:pPr>
        <w:jc w:val="center"/>
        <w:rPr>
          <w:rFonts w:hint="eastAsia" w:ascii="方正小标宋简体" w:eastAsia="方正小标宋简体"/>
          <w:bCs/>
          <w:sz w:val="40"/>
          <w:szCs w:val="40"/>
        </w:rPr>
      </w:pPr>
    </w:p>
    <w:p>
      <w:pPr>
        <w:jc w:val="center"/>
        <w:rPr>
          <w:rFonts w:hint="eastAsia" w:ascii="方正小标宋简体" w:eastAsia="方正小标宋简体"/>
          <w:bCs/>
          <w:sz w:val="40"/>
          <w:szCs w:val="40"/>
        </w:rPr>
      </w:pPr>
    </w:p>
    <w:p>
      <w:pPr>
        <w:jc w:val="center"/>
        <w:rPr>
          <w:rFonts w:hint="eastAsia" w:ascii="方正小标宋简体" w:eastAsia="方正小标宋简体"/>
          <w:bCs/>
          <w:sz w:val="40"/>
          <w:szCs w:val="40"/>
        </w:rPr>
      </w:pPr>
    </w:p>
    <w:p>
      <w:pPr>
        <w:jc w:val="center"/>
        <w:rPr>
          <w:rFonts w:hint="eastAsia" w:ascii="方正小标宋简体" w:eastAsia="方正小标宋简体"/>
          <w:b/>
          <w:bCs w:val="0"/>
          <w:sz w:val="40"/>
          <w:szCs w:val="40"/>
        </w:rPr>
      </w:pPr>
      <w:r>
        <w:rPr>
          <w:rFonts w:hint="eastAsia" w:ascii="方正小标宋简体" w:eastAsia="方正小标宋简体"/>
          <w:b/>
          <w:bCs w:val="0"/>
          <w:sz w:val="40"/>
          <w:szCs w:val="40"/>
        </w:rPr>
        <w:t>声   明</w:t>
      </w:r>
    </w:p>
    <w:p>
      <w:pPr>
        <w:jc w:val="center"/>
        <w:rPr>
          <w:rFonts w:hint="eastAsia"/>
          <w:b/>
          <w:bCs/>
          <w:sz w:val="44"/>
        </w:rPr>
      </w:pPr>
    </w:p>
    <w:p>
      <w:pPr>
        <w:spacing w:line="590" w:lineRule="exact"/>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1.本人对《乳品质量安全监督管理条例》农业部《生鲜乳生产收购管理办法》已充分理解。</w:t>
      </w:r>
    </w:p>
    <w:p>
      <w:pPr>
        <w:spacing w:line="590" w:lineRule="exact"/>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2.本申请书所填信息及附送资料均真实可靠，若有虚假愿承担一切后果及有关法律责任。</w:t>
      </w:r>
    </w:p>
    <w:p>
      <w:pPr>
        <w:spacing w:line="590" w:lineRule="exact"/>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3.本单位（人）已准备就绪，可随时接受生产条件现场审核。</w:t>
      </w:r>
    </w:p>
    <w:p>
      <w:pPr>
        <w:spacing w:line="590" w:lineRule="exact"/>
        <w:rPr>
          <w:rFonts w:hint="eastAsia" w:ascii="仿宋_GB2312" w:hAnsi="仿宋_GB2312" w:eastAsia="仿宋_GB2312" w:cs="仿宋_GB2312"/>
          <w:kern w:val="2"/>
          <w:sz w:val="32"/>
          <w:szCs w:val="32"/>
          <w:lang w:val="en-US" w:eastAsia="zh-CN" w:bidi="ar-SA"/>
        </w:rPr>
      </w:pPr>
    </w:p>
    <w:p>
      <w:pPr>
        <w:spacing w:line="590" w:lineRule="exact"/>
        <w:rPr>
          <w:rFonts w:hint="eastAsia" w:ascii="仿宋_GB2312" w:hAnsi="仿宋_GB2312" w:eastAsia="仿宋_GB2312" w:cs="仿宋_GB2312"/>
          <w:kern w:val="2"/>
          <w:sz w:val="32"/>
          <w:szCs w:val="32"/>
          <w:lang w:val="en-US" w:eastAsia="zh-CN" w:bidi="ar-SA"/>
        </w:rPr>
      </w:pPr>
    </w:p>
    <w:p>
      <w:pPr>
        <w:spacing w:line="590" w:lineRule="exact"/>
        <w:rPr>
          <w:rFonts w:hint="eastAsia" w:ascii="仿宋_GB2312" w:hAnsi="仿宋_GB2312" w:eastAsia="仿宋_GB2312" w:cs="仿宋_GB2312"/>
          <w:kern w:val="2"/>
          <w:sz w:val="32"/>
          <w:szCs w:val="32"/>
          <w:lang w:val="en-US" w:eastAsia="zh-CN" w:bidi="ar-SA"/>
        </w:rPr>
      </w:pPr>
    </w:p>
    <w:p>
      <w:pPr>
        <w:spacing w:line="590" w:lineRule="exact"/>
        <w:rPr>
          <w:rFonts w:hint="eastAsia" w:ascii="仿宋_GB2312" w:hAnsi="仿宋_GB2312" w:eastAsia="仿宋_GB2312" w:cs="仿宋_GB2312"/>
          <w:kern w:val="2"/>
          <w:sz w:val="32"/>
          <w:szCs w:val="32"/>
          <w:lang w:val="en-US" w:eastAsia="zh-CN" w:bidi="ar-SA"/>
        </w:rPr>
      </w:pPr>
    </w:p>
    <w:p>
      <w:pPr>
        <w:spacing w:line="590" w:lineRule="exact"/>
        <w:rPr>
          <w:rFonts w:hint="eastAsia" w:ascii="仿宋_GB2312" w:hAnsi="仿宋_GB2312" w:eastAsia="仿宋_GB2312" w:cs="仿宋_GB2312"/>
          <w:kern w:val="2"/>
          <w:sz w:val="32"/>
          <w:szCs w:val="32"/>
          <w:lang w:val="en-US" w:eastAsia="zh-CN" w:bidi="ar-SA"/>
        </w:rPr>
      </w:pPr>
    </w:p>
    <w:p>
      <w:pPr>
        <w:spacing w:line="590" w:lineRule="exact"/>
        <w:ind w:firstLine="3160" w:firstLineChars="10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车辆所有者签名（或公章）：           </w:t>
      </w:r>
    </w:p>
    <w:p>
      <w:pPr>
        <w:spacing w:line="59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年   月   日</w:t>
      </w:r>
    </w:p>
    <w:p>
      <w:pPr>
        <w:spacing w:line="590" w:lineRule="exact"/>
        <w:rPr>
          <w:rFonts w:hint="eastAsia" w:ascii="仿宋_GB2312" w:eastAsia="仿宋_GB2312"/>
          <w:b/>
          <w:sz w:val="40"/>
          <w:szCs w:val="40"/>
        </w:rPr>
      </w:pPr>
      <w:r>
        <w:rPr>
          <w:rFonts w:hint="eastAsia" w:ascii="仿宋_GB2312" w:hAnsi="仿宋_GB2312" w:eastAsia="仿宋_GB2312" w:cs="仿宋_GB2312"/>
          <w:kern w:val="2"/>
          <w:sz w:val="32"/>
          <w:szCs w:val="32"/>
          <w:lang w:val="en-US" w:eastAsia="zh-CN" w:bidi="ar-SA"/>
        </w:rPr>
        <w:br w:type="page"/>
      </w:r>
      <w:r>
        <w:rPr>
          <w:rFonts w:hint="eastAsia" w:ascii="仿宋_GB2312" w:hAnsi="仿宋_GB2312" w:eastAsia="仿宋_GB2312" w:cs="仿宋_GB2312"/>
          <w:kern w:val="2"/>
          <w:sz w:val="32"/>
          <w:szCs w:val="32"/>
          <w:lang w:val="en-US" w:eastAsia="zh-CN" w:bidi="ar-SA"/>
        </w:rPr>
        <w:t xml:space="preserve">                  </w:t>
      </w:r>
      <w:r>
        <w:rPr>
          <w:rFonts w:hint="eastAsia" w:ascii="仿宋_GB2312" w:eastAsia="仿宋_GB2312"/>
          <w:b/>
          <w:sz w:val="40"/>
          <w:szCs w:val="40"/>
        </w:rPr>
        <w:t>1.基本情况</w:t>
      </w:r>
    </w:p>
    <w:p>
      <w:pPr>
        <w:rPr>
          <w:rFonts w:hint="eastAsia" w:ascii="宋体"/>
          <w:b/>
          <w:sz w:val="28"/>
        </w:rPr>
      </w:pPr>
      <w:r>
        <w:rPr>
          <w:rFonts w:eastAsia="黑体"/>
          <w:sz w:val="28"/>
        </w:rPr>
        <w:t xml:space="preserve">                            </w:t>
      </w:r>
      <w:r>
        <w:rPr>
          <w:rFonts w:hint="eastAsia"/>
          <w:sz w:val="28"/>
        </w:rPr>
        <w:t xml:space="preserve">     </w:t>
      </w:r>
      <w:r>
        <w:rPr>
          <w:rFonts w:hint="eastAsia" w:eastAsia="仿宋_GB2312"/>
        </w:rPr>
        <w:t xml:space="preserve"> </w:t>
      </w:r>
      <w:r>
        <w:rPr>
          <w:rFonts w:eastAsia="仿宋_GB2312"/>
        </w:rPr>
        <w:t xml:space="preserve">  </w:t>
      </w:r>
    </w:p>
    <w:tbl>
      <w:tblPr>
        <w:tblStyle w:val="5"/>
        <w:tblW w:w="9023" w:type="dxa"/>
        <w:jc w:val="center"/>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5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车牌号码</w:t>
            </w:r>
          </w:p>
        </w:tc>
        <w:tc>
          <w:tcPr>
            <w:tcW w:w="7271" w:type="dxa"/>
            <w:noWrap w:val="0"/>
            <w:vAlign w:val="center"/>
          </w:tcPr>
          <w:p>
            <w:pPr>
              <w:rPr>
                <w:rFonts w:hint="eastAsia"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175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车辆生产厂家和型号</w:t>
            </w:r>
          </w:p>
        </w:tc>
        <w:tc>
          <w:tcPr>
            <w:tcW w:w="7271" w:type="dxa"/>
            <w:noWrap w:val="0"/>
            <w:vAlign w:val="center"/>
          </w:tcPr>
          <w:p>
            <w:pPr>
              <w:rPr>
                <w:rFonts w:hint="eastAsia"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175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奶罐情况：生产厂家、型号、材料、体积和载重规格、已使用时间</w:t>
            </w:r>
          </w:p>
        </w:tc>
        <w:tc>
          <w:tcPr>
            <w:tcW w:w="7271" w:type="dxa"/>
            <w:noWrap w:val="0"/>
            <w:vAlign w:val="center"/>
          </w:tcPr>
          <w:p>
            <w:pPr>
              <w:jc w:val="center"/>
              <w:rPr>
                <w:rFonts w:hint="eastAsia" w:ascii="仿宋_GB2312" w:eastAsia="仿宋_GB2312"/>
                <w:szCs w:val="32"/>
              </w:rPr>
            </w:pPr>
          </w:p>
        </w:tc>
      </w:tr>
    </w:tbl>
    <w:p>
      <w:pPr>
        <w:rPr>
          <w:rFonts w:hint="eastAsia"/>
          <w:b/>
          <w:sz w:val="28"/>
          <w:szCs w:val="28"/>
        </w:rPr>
      </w:pPr>
      <w:r>
        <w:rPr>
          <w:rFonts w:hint="eastAsia"/>
          <w:b/>
          <w:sz w:val="28"/>
          <w:szCs w:val="28"/>
        </w:rPr>
        <w:t xml:space="preserve">                    </w:t>
      </w:r>
    </w:p>
    <w:p>
      <w:pPr>
        <w:tabs>
          <w:tab w:val="left" w:pos="4410"/>
        </w:tabs>
        <w:jc w:val="center"/>
        <w:rPr>
          <w:rFonts w:hint="eastAsia" w:ascii="仿宋_GB2312" w:eastAsia="仿宋_GB2312"/>
          <w:b/>
          <w:sz w:val="40"/>
          <w:szCs w:val="40"/>
        </w:rPr>
      </w:pPr>
      <w:r>
        <w:rPr>
          <w:rFonts w:hint="eastAsia" w:ascii="仿宋_GB2312" w:eastAsia="仿宋_GB2312"/>
          <w:b/>
          <w:sz w:val="40"/>
          <w:szCs w:val="40"/>
        </w:rPr>
        <w:t>2.人员情况</w:t>
      </w:r>
    </w:p>
    <w:p>
      <w:pPr>
        <w:rPr>
          <w:rFonts w:hint="eastAsia"/>
          <w:b/>
          <w:sz w:val="28"/>
          <w:szCs w:val="28"/>
        </w:rPr>
      </w:pPr>
    </w:p>
    <w:tbl>
      <w:tblPr>
        <w:tblStyle w:val="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97"/>
        <w:gridCol w:w="918"/>
        <w:gridCol w:w="252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536" w:type="dxa"/>
            <w:noWrap w:val="0"/>
            <w:vAlign w:val="top"/>
          </w:tcPr>
          <w:p>
            <w:pPr>
              <w:jc w:val="center"/>
              <w:rPr>
                <w:rFonts w:hint="eastAsia" w:ascii="仿宋_GB2312" w:eastAsia="仿宋_GB2312"/>
                <w:b/>
                <w:sz w:val="24"/>
                <w:szCs w:val="24"/>
              </w:rPr>
            </w:pPr>
            <w:r>
              <w:rPr>
                <w:rFonts w:hint="eastAsia" w:ascii="仿宋_GB2312" w:eastAsia="仿宋_GB2312"/>
                <w:b/>
                <w:sz w:val="24"/>
                <w:szCs w:val="24"/>
              </w:rPr>
              <w:t>序</w:t>
            </w:r>
          </w:p>
          <w:p>
            <w:pPr>
              <w:jc w:val="center"/>
              <w:rPr>
                <w:rFonts w:hint="eastAsia" w:ascii="仿宋_GB2312" w:eastAsia="仿宋_GB2312"/>
                <w:b/>
                <w:sz w:val="24"/>
                <w:szCs w:val="24"/>
              </w:rPr>
            </w:pPr>
            <w:r>
              <w:rPr>
                <w:rFonts w:hint="eastAsia" w:ascii="仿宋_GB2312" w:eastAsia="仿宋_GB2312"/>
                <w:b/>
                <w:sz w:val="24"/>
                <w:szCs w:val="24"/>
              </w:rPr>
              <w:t>号</w:t>
            </w:r>
          </w:p>
        </w:tc>
        <w:tc>
          <w:tcPr>
            <w:tcW w:w="1497"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姓  名</w:t>
            </w:r>
          </w:p>
        </w:tc>
        <w:tc>
          <w:tcPr>
            <w:tcW w:w="918"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年龄</w:t>
            </w:r>
          </w:p>
        </w:tc>
        <w:tc>
          <w:tcPr>
            <w:tcW w:w="252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职务、工作岗位</w:t>
            </w:r>
          </w:p>
        </w:tc>
        <w:tc>
          <w:tcPr>
            <w:tcW w:w="3926"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健康证明编号及其发证时间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6" w:type="dxa"/>
            <w:noWrap w:val="0"/>
            <w:vAlign w:val="center"/>
          </w:tcPr>
          <w:p>
            <w:pPr>
              <w:jc w:val="center"/>
              <w:rPr>
                <w:rFonts w:hint="eastAsia" w:ascii="仿宋_GB2312" w:eastAsia="仿宋_GB2312"/>
                <w:sz w:val="24"/>
                <w:szCs w:val="24"/>
              </w:rPr>
            </w:pPr>
          </w:p>
        </w:tc>
        <w:tc>
          <w:tcPr>
            <w:tcW w:w="1497" w:type="dxa"/>
            <w:noWrap w:val="0"/>
            <w:vAlign w:val="center"/>
          </w:tcPr>
          <w:p>
            <w:pPr>
              <w:jc w:val="center"/>
              <w:rPr>
                <w:rFonts w:hint="eastAsia" w:ascii="仿宋_GB2312" w:eastAsia="仿宋_GB2312"/>
                <w:sz w:val="24"/>
                <w:szCs w:val="24"/>
              </w:rPr>
            </w:pPr>
          </w:p>
        </w:tc>
        <w:tc>
          <w:tcPr>
            <w:tcW w:w="918" w:type="dxa"/>
            <w:noWrap w:val="0"/>
            <w:vAlign w:val="top"/>
          </w:tcPr>
          <w:p>
            <w:pPr>
              <w:jc w:val="center"/>
              <w:rPr>
                <w:rFonts w:hint="eastAsia" w:ascii="仿宋_GB2312" w:eastAsia="仿宋_GB2312"/>
                <w:sz w:val="24"/>
                <w:szCs w:val="24"/>
              </w:rPr>
            </w:pPr>
          </w:p>
        </w:tc>
        <w:tc>
          <w:tcPr>
            <w:tcW w:w="2525" w:type="dxa"/>
            <w:noWrap w:val="0"/>
            <w:vAlign w:val="center"/>
          </w:tcPr>
          <w:p>
            <w:pPr>
              <w:jc w:val="center"/>
              <w:rPr>
                <w:rFonts w:hint="eastAsia" w:ascii="仿宋_GB2312" w:eastAsia="仿宋_GB2312"/>
                <w:sz w:val="24"/>
                <w:szCs w:val="24"/>
              </w:rPr>
            </w:pPr>
          </w:p>
        </w:tc>
        <w:tc>
          <w:tcPr>
            <w:tcW w:w="3926"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6" w:type="dxa"/>
            <w:noWrap w:val="0"/>
            <w:vAlign w:val="center"/>
          </w:tcPr>
          <w:p>
            <w:pPr>
              <w:jc w:val="center"/>
              <w:rPr>
                <w:rFonts w:hint="eastAsia" w:ascii="仿宋_GB2312" w:eastAsia="仿宋_GB2312"/>
                <w:sz w:val="24"/>
                <w:szCs w:val="24"/>
              </w:rPr>
            </w:pPr>
          </w:p>
        </w:tc>
        <w:tc>
          <w:tcPr>
            <w:tcW w:w="1497" w:type="dxa"/>
            <w:noWrap w:val="0"/>
            <w:vAlign w:val="center"/>
          </w:tcPr>
          <w:p>
            <w:pPr>
              <w:jc w:val="center"/>
              <w:rPr>
                <w:rFonts w:hint="eastAsia" w:ascii="仿宋_GB2312" w:eastAsia="仿宋_GB2312"/>
                <w:sz w:val="24"/>
                <w:szCs w:val="24"/>
              </w:rPr>
            </w:pPr>
          </w:p>
        </w:tc>
        <w:tc>
          <w:tcPr>
            <w:tcW w:w="918" w:type="dxa"/>
            <w:noWrap w:val="0"/>
            <w:vAlign w:val="top"/>
          </w:tcPr>
          <w:p>
            <w:pPr>
              <w:jc w:val="center"/>
              <w:rPr>
                <w:rFonts w:hint="eastAsia" w:ascii="仿宋_GB2312" w:eastAsia="仿宋_GB2312"/>
                <w:sz w:val="24"/>
                <w:szCs w:val="24"/>
              </w:rPr>
            </w:pPr>
          </w:p>
        </w:tc>
        <w:tc>
          <w:tcPr>
            <w:tcW w:w="2525" w:type="dxa"/>
            <w:noWrap w:val="0"/>
            <w:vAlign w:val="center"/>
          </w:tcPr>
          <w:p>
            <w:pPr>
              <w:jc w:val="center"/>
              <w:rPr>
                <w:rFonts w:hint="eastAsia" w:ascii="仿宋_GB2312" w:eastAsia="仿宋_GB2312"/>
                <w:sz w:val="24"/>
                <w:szCs w:val="24"/>
              </w:rPr>
            </w:pPr>
          </w:p>
        </w:tc>
        <w:tc>
          <w:tcPr>
            <w:tcW w:w="3926"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6" w:type="dxa"/>
            <w:noWrap w:val="0"/>
            <w:vAlign w:val="center"/>
          </w:tcPr>
          <w:p>
            <w:pPr>
              <w:jc w:val="center"/>
              <w:rPr>
                <w:rFonts w:hint="eastAsia" w:ascii="仿宋_GB2312" w:eastAsia="仿宋_GB2312"/>
                <w:sz w:val="24"/>
                <w:szCs w:val="24"/>
              </w:rPr>
            </w:pPr>
          </w:p>
        </w:tc>
        <w:tc>
          <w:tcPr>
            <w:tcW w:w="1497" w:type="dxa"/>
            <w:noWrap w:val="0"/>
            <w:vAlign w:val="center"/>
          </w:tcPr>
          <w:p>
            <w:pPr>
              <w:jc w:val="center"/>
              <w:rPr>
                <w:rFonts w:hint="eastAsia" w:ascii="仿宋_GB2312" w:eastAsia="仿宋_GB2312"/>
                <w:sz w:val="24"/>
                <w:szCs w:val="24"/>
              </w:rPr>
            </w:pPr>
          </w:p>
        </w:tc>
        <w:tc>
          <w:tcPr>
            <w:tcW w:w="918" w:type="dxa"/>
            <w:noWrap w:val="0"/>
            <w:vAlign w:val="top"/>
          </w:tcPr>
          <w:p>
            <w:pPr>
              <w:jc w:val="center"/>
              <w:rPr>
                <w:rFonts w:hint="eastAsia" w:ascii="仿宋_GB2312" w:eastAsia="仿宋_GB2312"/>
                <w:sz w:val="24"/>
                <w:szCs w:val="24"/>
              </w:rPr>
            </w:pPr>
          </w:p>
        </w:tc>
        <w:tc>
          <w:tcPr>
            <w:tcW w:w="2525" w:type="dxa"/>
            <w:noWrap w:val="0"/>
            <w:vAlign w:val="center"/>
          </w:tcPr>
          <w:p>
            <w:pPr>
              <w:jc w:val="center"/>
              <w:rPr>
                <w:rFonts w:hint="eastAsia" w:ascii="仿宋_GB2312" w:eastAsia="仿宋_GB2312"/>
                <w:sz w:val="24"/>
                <w:szCs w:val="24"/>
              </w:rPr>
            </w:pPr>
          </w:p>
        </w:tc>
        <w:tc>
          <w:tcPr>
            <w:tcW w:w="3926"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6" w:type="dxa"/>
            <w:noWrap w:val="0"/>
            <w:vAlign w:val="center"/>
          </w:tcPr>
          <w:p>
            <w:pPr>
              <w:jc w:val="center"/>
              <w:rPr>
                <w:rFonts w:hint="eastAsia" w:ascii="仿宋_GB2312" w:eastAsia="仿宋_GB2312"/>
                <w:sz w:val="24"/>
                <w:szCs w:val="24"/>
              </w:rPr>
            </w:pPr>
          </w:p>
        </w:tc>
        <w:tc>
          <w:tcPr>
            <w:tcW w:w="1497" w:type="dxa"/>
            <w:noWrap w:val="0"/>
            <w:vAlign w:val="center"/>
          </w:tcPr>
          <w:p>
            <w:pPr>
              <w:jc w:val="center"/>
              <w:rPr>
                <w:rFonts w:hint="eastAsia" w:ascii="仿宋_GB2312" w:eastAsia="仿宋_GB2312"/>
                <w:sz w:val="24"/>
                <w:szCs w:val="24"/>
              </w:rPr>
            </w:pPr>
          </w:p>
        </w:tc>
        <w:tc>
          <w:tcPr>
            <w:tcW w:w="918" w:type="dxa"/>
            <w:noWrap w:val="0"/>
            <w:vAlign w:val="top"/>
          </w:tcPr>
          <w:p>
            <w:pPr>
              <w:jc w:val="center"/>
              <w:rPr>
                <w:rFonts w:hint="eastAsia" w:ascii="仿宋_GB2312" w:eastAsia="仿宋_GB2312"/>
                <w:sz w:val="24"/>
                <w:szCs w:val="24"/>
              </w:rPr>
            </w:pPr>
          </w:p>
        </w:tc>
        <w:tc>
          <w:tcPr>
            <w:tcW w:w="2525" w:type="dxa"/>
            <w:noWrap w:val="0"/>
            <w:vAlign w:val="center"/>
          </w:tcPr>
          <w:p>
            <w:pPr>
              <w:jc w:val="center"/>
              <w:rPr>
                <w:rFonts w:hint="eastAsia" w:ascii="仿宋_GB2312" w:eastAsia="仿宋_GB2312"/>
                <w:sz w:val="24"/>
                <w:szCs w:val="24"/>
              </w:rPr>
            </w:pPr>
          </w:p>
        </w:tc>
        <w:tc>
          <w:tcPr>
            <w:tcW w:w="3926"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6" w:type="dxa"/>
            <w:noWrap w:val="0"/>
            <w:vAlign w:val="center"/>
          </w:tcPr>
          <w:p>
            <w:pPr>
              <w:jc w:val="center"/>
              <w:rPr>
                <w:rFonts w:hint="eastAsia" w:ascii="仿宋_GB2312" w:eastAsia="仿宋_GB2312"/>
                <w:sz w:val="24"/>
                <w:szCs w:val="24"/>
              </w:rPr>
            </w:pPr>
          </w:p>
        </w:tc>
        <w:tc>
          <w:tcPr>
            <w:tcW w:w="1497" w:type="dxa"/>
            <w:noWrap w:val="0"/>
            <w:vAlign w:val="center"/>
          </w:tcPr>
          <w:p>
            <w:pPr>
              <w:jc w:val="center"/>
              <w:rPr>
                <w:rFonts w:hint="eastAsia" w:ascii="仿宋_GB2312" w:eastAsia="仿宋_GB2312"/>
                <w:sz w:val="24"/>
                <w:szCs w:val="24"/>
              </w:rPr>
            </w:pPr>
          </w:p>
        </w:tc>
        <w:tc>
          <w:tcPr>
            <w:tcW w:w="918" w:type="dxa"/>
            <w:noWrap w:val="0"/>
            <w:vAlign w:val="top"/>
          </w:tcPr>
          <w:p>
            <w:pPr>
              <w:jc w:val="center"/>
              <w:rPr>
                <w:rFonts w:hint="eastAsia" w:ascii="仿宋_GB2312" w:eastAsia="仿宋_GB2312"/>
                <w:sz w:val="24"/>
                <w:szCs w:val="24"/>
              </w:rPr>
            </w:pPr>
          </w:p>
        </w:tc>
        <w:tc>
          <w:tcPr>
            <w:tcW w:w="2525" w:type="dxa"/>
            <w:noWrap w:val="0"/>
            <w:vAlign w:val="center"/>
          </w:tcPr>
          <w:p>
            <w:pPr>
              <w:jc w:val="center"/>
              <w:rPr>
                <w:rFonts w:hint="eastAsia" w:ascii="仿宋_GB2312" w:eastAsia="仿宋_GB2312"/>
                <w:sz w:val="24"/>
                <w:szCs w:val="24"/>
              </w:rPr>
            </w:pPr>
          </w:p>
        </w:tc>
        <w:tc>
          <w:tcPr>
            <w:tcW w:w="3926" w:type="dxa"/>
            <w:noWrap w:val="0"/>
            <w:vAlign w:val="center"/>
          </w:tcPr>
          <w:p>
            <w:pPr>
              <w:jc w:val="center"/>
              <w:rPr>
                <w:rFonts w:hint="eastAsia" w:ascii="仿宋_GB2312" w:eastAsia="仿宋_GB2312"/>
                <w:sz w:val="24"/>
                <w:szCs w:val="24"/>
              </w:rPr>
            </w:pPr>
          </w:p>
        </w:tc>
      </w:tr>
    </w:tbl>
    <w:p>
      <w:pPr>
        <w:snapToGrid w:val="0"/>
        <w:rPr>
          <w:rFonts w:hint="eastAsia"/>
        </w:rPr>
        <w:sectPr>
          <w:headerReference r:id="rId3" w:type="default"/>
          <w:footerReference r:id="rId4" w:type="default"/>
          <w:pgSz w:w="11907" w:h="16840"/>
          <w:pgMar w:top="1871" w:right="1531" w:bottom="1871" w:left="1531" w:header="851" w:footer="1418" w:gutter="0"/>
          <w:cols w:space="720" w:num="1"/>
          <w:docGrid w:type="linesAndChars" w:linePitch="590" w:charSpace="-1024"/>
        </w:sectPr>
      </w:pPr>
    </w:p>
    <w:p>
      <w:pPr>
        <w:rPr>
          <w:rFonts w:hint="eastAsia"/>
          <w:lang w:val="en-US" w:eastAsia="zh-CN"/>
        </w:rPr>
      </w:pPr>
      <w:r>
        <w:rPr>
          <w:rFonts w:hint="eastAsia" w:ascii="仿宋_GB2312" w:hAnsi="仿宋_GB2312" w:eastAsia="仿宋_GB2312" w:cs="仿宋_GB2312"/>
          <w:kern w:val="2"/>
          <w:sz w:val="32"/>
          <w:szCs w:val="32"/>
          <w:lang w:val="en-US" w:eastAsia="zh-CN" w:bidi="ar-SA"/>
        </w:rPr>
        <w:t xml:space="preserve">附件2： </w:t>
      </w:r>
      <w:r>
        <w:rPr>
          <w:rFonts w:hint="eastAsia"/>
          <w:lang w:val="en-US" w:eastAsia="zh-CN"/>
        </w:rPr>
        <w:t xml:space="preserve"> </w:t>
      </w:r>
    </w:p>
    <w:p>
      <w:pPr>
        <w:ind w:firstLine="803" w:firstLineChars="200"/>
        <w:rPr>
          <w:rFonts w:hint="eastAsia" w:ascii="方正小标宋简体" w:hAnsi="宋体" w:eastAsia="方正小标宋简体"/>
          <w:b/>
          <w:bCs w:val="0"/>
          <w:sz w:val="40"/>
          <w:szCs w:val="40"/>
          <w:lang w:eastAsia="zh-CN"/>
        </w:rPr>
      </w:pPr>
      <w:r>
        <w:rPr>
          <w:rFonts w:hint="eastAsia" w:ascii="方正小标宋简体" w:hAnsi="宋体" w:eastAsia="方正小标宋简体"/>
          <w:b/>
          <w:bCs w:val="0"/>
          <w:sz w:val="40"/>
          <w:szCs w:val="40"/>
        </w:rPr>
        <w:t>生鲜乳准运证明</w:t>
      </w:r>
      <w:r>
        <w:rPr>
          <w:rFonts w:hint="eastAsia" w:ascii="方正小标宋简体" w:hAnsi="宋体" w:eastAsia="方正小标宋简体"/>
          <w:b/>
          <w:bCs w:val="0"/>
          <w:sz w:val="40"/>
          <w:szCs w:val="40"/>
          <w:lang w:eastAsia="zh-CN"/>
        </w:rPr>
        <w:t>行政审批告知承诺书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一、本单位承诺所有生鲜乳运输车辆均具备以下条件：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1、奶罐隔热、保温，内壁由防腐蚀材料制造，对生鲜乳质量安全没有影响；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2、奶罐外壁用坚硬光滑、防腐、可冲洗的防水材料制造；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3、奶罐设有奶样存放舱和装备隔离箱，保持清洁卫生，避免尘土污染；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4、奶罐密封材料耐脂肪、无毒，在温度正常的情况下具有耐清洗剂的能力；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5、奶车顶盖装置、通气和防尘罩设计合理，防止奶罐和生鲜乳受到污染。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二、本单位对《乳品质量安全监督管理条例》和农业部《生鲜乳生产收购管理办法》已充分理解，提交以上材料均真实可靠，若有虚假愿承担一切后果及有关法律责任。</w:t>
      </w:r>
    </w:p>
    <w:p>
      <w:pPr>
        <w:ind w:firstLine="1280" w:firstLineChars="40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920" w:firstLineChars="6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申请人（法定代表人或负责人）：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 xml:space="preserve">                          （签字盖章）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kern w:val="44"/>
          <w:sz w:val="32"/>
          <w:szCs w:val="32"/>
          <w:lang w:val="en-US" w:eastAsia="zh-CN" w:bidi="ar-SA"/>
        </w:rPr>
        <w:t xml:space="preserve">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45" w:wrap="around" w:vAnchor="text" w:hAnchor="margin" w:xAlign="outside" w:y="5"/>
      <w:rPr>
        <w:rStyle w:val="9"/>
        <w:rFonts w:hint="eastAsia" w:ascii="仿宋_GB2312" w:eastAsia="仿宋_GB2312"/>
        <w:sz w:val="28"/>
        <w:szCs w:val="28"/>
      </w:rPr>
    </w:pPr>
    <w:r>
      <w:rPr>
        <w:rStyle w:val="9"/>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4</w:t>
    </w:r>
    <w:r>
      <w:rPr>
        <w:rFonts w:hint="eastAsia" w:ascii="仿宋_GB2312" w:eastAsia="仿宋_GB2312"/>
        <w:sz w:val="28"/>
        <w:szCs w:val="28"/>
      </w:rPr>
      <w:fldChar w:fldCharType="end"/>
    </w:r>
    <w:r>
      <w:rPr>
        <w:rStyle w:val="9"/>
        <w:rFonts w:hint="eastAsia" w:ascii="仿宋_GB2312" w:eastAsia="仿宋_GB2312"/>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45" w:wrap="around" w:vAnchor="text" w:hAnchor="margin" w:xAlign="outside" w:y="5"/>
      <w:rPr>
        <w:rStyle w:val="9"/>
        <w:rFonts w:hint="eastAsia" w:ascii="仿宋_GB2312" w:eastAsia="仿宋_GB2312"/>
        <w:sz w:val="28"/>
        <w:szCs w:val="28"/>
      </w:rPr>
    </w:pPr>
    <w:r>
      <w:rPr>
        <w:rStyle w:val="9"/>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4</w:t>
    </w:r>
    <w:r>
      <w:rPr>
        <w:rFonts w:hint="eastAsia" w:ascii="仿宋_GB2312" w:eastAsia="仿宋_GB2312"/>
        <w:sz w:val="28"/>
        <w:szCs w:val="28"/>
      </w:rPr>
      <w:fldChar w:fldCharType="end"/>
    </w:r>
    <w:r>
      <w:rPr>
        <w:rStyle w:val="9"/>
        <w:rFonts w:hint="eastAsia" w:ascii="仿宋_GB2312" w:eastAsia="仿宋_GB2312"/>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916"/>
    <w:multiLevelType w:val="multilevel"/>
    <w:tmpl w:val="16EC1916"/>
    <w:lvl w:ilvl="0" w:tentative="0">
      <w:start w:val="1"/>
      <w:numFmt w:val="decimal"/>
      <w:pStyle w:val="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26669FD"/>
    <w:multiLevelType w:val="singleLevel"/>
    <w:tmpl w:val="626669FD"/>
    <w:lvl w:ilvl="0" w:tentative="0">
      <w:start w:val="1"/>
      <w:numFmt w:val="chineseCounting"/>
      <w:suff w:val="nothing"/>
      <w:lvlText w:val="（%1）"/>
      <w:lvlJc w:val="left"/>
      <w:pPr>
        <w:ind w:left="0" w:firstLine="420"/>
      </w:pPr>
      <w:rPr>
        <w:rFonts w:hint="eastAsia"/>
      </w:rPr>
    </w:lvl>
  </w:abstractNum>
  <w:abstractNum w:abstractNumId="2">
    <w:nsid w:val="6F026D22"/>
    <w:multiLevelType w:val="singleLevel"/>
    <w:tmpl w:val="6F026D22"/>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9570D"/>
    <w:rsid w:val="085F084A"/>
    <w:rsid w:val="0A090C55"/>
    <w:rsid w:val="14FE16D4"/>
    <w:rsid w:val="17166238"/>
    <w:rsid w:val="19B860EB"/>
    <w:rsid w:val="1D383702"/>
    <w:rsid w:val="1E820B82"/>
    <w:rsid w:val="306B57AC"/>
    <w:rsid w:val="3D906202"/>
    <w:rsid w:val="4021432C"/>
    <w:rsid w:val="40D60F3B"/>
    <w:rsid w:val="42D77206"/>
    <w:rsid w:val="4B7D2E30"/>
    <w:rsid w:val="4C34707D"/>
    <w:rsid w:val="4C9A11FA"/>
    <w:rsid w:val="4ECD535A"/>
    <w:rsid w:val="51304DD8"/>
    <w:rsid w:val="56372564"/>
    <w:rsid w:val="58144142"/>
    <w:rsid w:val="60C72795"/>
    <w:rsid w:val="689234D5"/>
    <w:rsid w:val="6A056665"/>
    <w:rsid w:val="70ED7AA1"/>
    <w:rsid w:val="79D06318"/>
    <w:rsid w:val="79E3567C"/>
    <w:rsid w:val="7BCC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rPr>
      <w:sz w:val="24"/>
      <w:szCs w:val="24"/>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Char Char Char Char"/>
    <w:basedOn w:val="1"/>
    <w:link w:val="7"/>
    <w:qFormat/>
    <w:uiPriority w:val="0"/>
    <w:pPr>
      <w:numPr>
        <w:ilvl w:val="0"/>
        <w:numId w:val="1"/>
      </w:numPr>
    </w:pPr>
    <w:rPr>
      <w:sz w:val="24"/>
      <w:szCs w:val="24"/>
    </w:rPr>
  </w:style>
  <w:style w:type="character" w:styleId="9">
    <w:name w:val="page number"/>
    <w:basedOn w:val="7"/>
    <w:qFormat/>
    <w:uiPriority w:val="0"/>
  </w:style>
  <w:style w:type="paragraph" w:customStyle="1" w:styleId="10">
    <w:name w:val="Heading3"/>
    <w:basedOn w:val="1"/>
    <w:next w:val="1"/>
    <w:qFormat/>
    <w:uiPriority w:val="0"/>
    <w:pPr>
      <w:keepNext/>
      <w:keepLines/>
      <w:spacing w:before="260" w:after="260" w:line="590" w:lineRule="exact"/>
      <w:ind w:firstLine="643"/>
    </w:pPr>
    <w:rPr>
      <w:b/>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2020-03-30T06:14:33Z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