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华文中宋" w:asciiTheme="majorEastAsia" w:hAnsiTheme="majorEastAsia" w:eastAsiaTheme="majorEastAsia"/>
          <w:b/>
          <w:bCs/>
          <w:sz w:val="44"/>
          <w:szCs w:val="44"/>
        </w:rPr>
      </w:pPr>
      <w:r>
        <w:rPr>
          <w:rFonts w:hint="eastAsia" w:cs="华文中宋" w:asciiTheme="majorEastAsia" w:hAnsiTheme="majorEastAsia" w:eastAsiaTheme="majorEastAsia"/>
          <w:b/>
          <w:bCs/>
          <w:sz w:val="44"/>
          <w:szCs w:val="44"/>
        </w:rPr>
        <w:t>承担国家法定计量检定机构任务授权</w:t>
      </w:r>
      <w:bookmarkStart w:id="0" w:name="_GoBack"/>
      <w:bookmarkEnd w:id="0"/>
      <w:r>
        <w:rPr>
          <w:rFonts w:hint="eastAsia" w:cs="华文中宋" w:asciiTheme="majorEastAsia" w:hAnsiTheme="majorEastAsia" w:eastAsiaTheme="majorEastAsia"/>
          <w:b/>
          <w:bCs/>
          <w:sz w:val="44"/>
          <w:szCs w:val="44"/>
        </w:rPr>
        <w:t>“证照分离”改革全覆盖试点实施方案</w:t>
      </w:r>
    </w:p>
    <w:p>
      <w:pPr>
        <w:jc w:val="center"/>
        <w:rPr>
          <w:rFonts w:hint="eastAsia" w:cs="华文中宋" w:asciiTheme="majorEastAsia" w:hAnsiTheme="majorEastAsia" w:eastAsiaTheme="majorEastAsia"/>
          <w:b/>
          <w:bCs/>
          <w:sz w:val="44"/>
          <w:szCs w:val="44"/>
        </w:rPr>
      </w:pP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一、主管处室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计量和认证处</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二、改革内容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深圳市人民政府关于发布深圳市非行政许可审批和登记事项清理结果的通知》（深府〔2008〕7号）规定，授权其他单位的计量检定机构执行强制检定等任务在我市已改革为行政监督事项，将加强事中事后监管。</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三、监管措施</w:t>
      </w:r>
    </w:p>
    <w:p>
      <w:pPr>
        <w:numPr>
          <w:ilvl w:val="0"/>
          <w:numId w:val="1"/>
        </w:numPr>
        <w:ind w:left="0" w:leftChars="0" w:firstLine="4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实施分级分类监管，实行“双随机、一公开”和重点监管，发现违法违规行为的及时依法查处并公开结果。</w:t>
      </w:r>
    </w:p>
    <w:p>
      <w:pPr>
        <w:numPr>
          <w:ilvl w:val="0"/>
          <w:numId w:val="1"/>
        </w:numPr>
        <w:ind w:left="0" w:leftChars="0" w:firstLine="4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对通过投诉举报等渠道反映问题多的机构实施重点监管。</w:t>
      </w:r>
    </w:p>
    <w:p>
      <w:pPr>
        <w:numPr>
          <w:ilvl w:val="0"/>
          <w:numId w:val="1"/>
        </w:numPr>
        <w:ind w:left="0" w:leftChars="0" w:firstLine="4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加强信用监管，向社会公布法定计量检定机构信用状况，对失信主体开展联合惩戒。</w:t>
      </w:r>
    </w:p>
    <w:p>
      <w:pPr>
        <w:numPr>
          <w:ilvl w:val="0"/>
          <w:numId w:val="1"/>
        </w:numPr>
        <w:ind w:left="0" w:leftChars="0" w:firstLine="4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加大对专项计量授权机构开展的监督检查力度。</w:t>
      </w:r>
    </w:p>
    <w:p>
      <w:pPr>
        <w:numPr>
          <w:ilvl w:val="0"/>
          <w:numId w:val="1"/>
        </w:numPr>
        <w:ind w:left="0" w:leftChars="0" w:firstLine="4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对历史原因存续的专项计量授权机构申请延续的，组织考核，确认合格的，继续延续，考核不合格的，不再延续。</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66904"/>
    <w:multiLevelType w:val="singleLevel"/>
    <w:tmpl w:val="9006690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699B"/>
    <w:rsid w:val="0046699B"/>
    <w:rsid w:val="00483A28"/>
    <w:rsid w:val="007F2503"/>
    <w:rsid w:val="00C7373C"/>
    <w:rsid w:val="00F7103B"/>
    <w:rsid w:val="047E2B94"/>
    <w:rsid w:val="0C924504"/>
    <w:rsid w:val="2C72045C"/>
    <w:rsid w:val="454D3F8C"/>
    <w:rsid w:val="4F933344"/>
    <w:rsid w:val="5B2F6DB7"/>
    <w:rsid w:val="69E5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Words>
  <Characters>278</Characters>
  <Lines>2</Lines>
  <Paragraphs>1</Paragraphs>
  <TotalTime>0</TotalTime>
  <ScaleCrop>false</ScaleCrop>
  <LinksUpToDate>false</LinksUpToDate>
  <CharactersWithSpaces>325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2020-03-12T06:18:00Z</dcterms:created>
  <dc:creator>fanll</dc:creator>
  <cp:lastModifiedBy>樊璐璐</cp:lastModifiedBy>
  <dcterms:modified xsi:type="dcterms:W3CDTF">2020-03-30T06:09:15Z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