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80" w:lineRule="exact"/>
        <w:ind w:right="147"/>
        <w:jc w:val="center"/>
        <w:outlineLvl w:val="0"/>
        <w:rPr>
          <w:rFonts w:ascii="华文中宋" w:hAnsi="华文中宋" w:eastAsia="华文中宋" w:cs="宋体"/>
          <w:b/>
          <w:bCs/>
          <w:color w:val="333333"/>
          <w:kern w:val="0"/>
          <w:sz w:val="44"/>
          <w:szCs w:val="44"/>
        </w:rPr>
      </w:pPr>
      <w:r>
        <w:rPr>
          <w:rFonts w:hint="eastAsia" w:ascii="华文中宋" w:hAnsi="华文中宋" w:eastAsia="华文中宋" w:cs="宋体"/>
          <w:b/>
          <w:bCs/>
          <w:color w:val="333333"/>
          <w:kern w:val="0"/>
          <w:sz w:val="44"/>
          <w:szCs w:val="44"/>
        </w:rPr>
        <w:t>深圳市</w:t>
      </w:r>
      <w:r>
        <w:rPr>
          <w:rFonts w:hint="eastAsia" w:ascii="华文中宋" w:hAnsi="华文中宋" w:eastAsia="华文中宋" w:cs="宋体"/>
          <w:b/>
          <w:bCs/>
          <w:sz w:val="44"/>
          <w:szCs w:val="44"/>
        </w:rPr>
        <w:t>贸易结算用计量器具</w:t>
      </w:r>
      <w:r>
        <w:rPr>
          <w:rFonts w:hint="eastAsia" w:ascii="华文中宋" w:hAnsi="华文中宋" w:eastAsia="华文中宋" w:cs="宋体"/>
          <w:b/>
          <w:bCs/>
          <w:color w:val="333333"/>
          <w:kern w:val="0"/>
          <w:sz w:val="44"/>
          <w:szCs w:val="44"/>
        </w:rPr>
        <w:t>强制检定</w:t>
      </w:r>
    </w:p>
    <w:p>
      <w:pPr>
        <w:widowControl/>
        <w:shd w:val="clear" w:color="auto" w:fill="FFFFFF"/>
        <w:snapToGrid w:val="0"/>
        <w:spacing w:line="580" w:lineRule="exact"/>
        <w:ind w:right="147"/>
        <w:jc w:val="center"/>
        <w:outlineLvl w:val="0"/>
        <w:rPr>
          <w:rFonts w:ascii="华文中宋" w:hAnsi="华文中宋" w:eastAsia="华文中宋" w:cs="宋体"/>
          <w:b/>
          <w:color w:val="333333"/>
          <w:kern w:val="36"/>
          <w:sz w:val="30"/>
          <w:szCs w:val="30"/>
        </w:rPr>
      </w:pPr>
      <w:r>
        <w:rPr>
          <w:rFonts w:hint="eastAsia" w:ascii="华文中宋" w:hAnsi="华文中宋" w:eastAsia="华文中宋" w:cs="宋体"/>
          <w:b/>
          <w:bCs/>
          <w:color w:val="333333"/>
          <w:kern w:val="0"/>
          <w:sz w:val="44"/>
          <w:szCs w:val="44"/>
        </w:rPr>
        <w:t>管理制度改革试点工作方案</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根据《市场监管总局关于同意在深圳市开展贸易结算用计量器具强制检定管理制度改革试点的批复》（国市监计量函〔2020〕508号）的要求，为推进深圳市贸易结算用计量器具强制检定管理制度改革试点工作</w:t>
      </w:r>
      <w:r>
        <w:rPr>
          <w:rFonts w:ascii="仿宋" w:hAnsi="仿宋" w:eastAsia="仿宋" w:cs="仿宋"/>
          <w:color w:val="333333"/>
          <w:kern w:val="0"/>
          <w:sz w:val="32"/>
          <w:szCs w:val="32"/>
          <w:shd w:val="clear" w:color="auto" w:fill="FFFFFF"/>
        </w:rPr>
        <w:t>，</w:t>
      </w:r>
      <w:r>
        <w:rPr>
          <w:rFonts w:hint="eastAsia" w:ascii="仿宋_GB2312" w:eastAsia="仿宋_GB2312"/>
          <w:sz w:val="32"/>
          <w:szCs w:val="32"/>
        </w:rPr>
        <w:t>制定本方案。</w:t>
      </w:r>
    </w:p>
    <w:p>
      <w:pPr>
        <w:widowControl/>
        <w:shd w:val="clear" w:color="auto" w:fill="FFFFFF"/>
        <w:adjustRightInd w:val="0"/>
        <w:snapToGrid w:val="0"/>
        <w:spacing w:line="560" w:lineRule="exact"/>
        <w:ind w:firstLine="640" w:firstLineChars="200"/>
        <w:rPr>
          <w:rFonts w:ascii="黑体" w:hAnsi="黑体" w:eastAsia="黑体" w:cs="黑体"/>
          <w:bCs/>
          <w:sz w:val="32"/>
          <w:szCs w:val="30"/>
        </w:rPr>
      </w:pPr>
      <w:r>
        <w:rPr>
          <w:rFonts w:hint="eastAsia" w:ascii="黑体" w:hAnsi="黑体" w:eastAsia="黑体" w:cs="黑体"/>
          <w:bCs/>
          <w:sz w:val="32"/>
          <w:szCs w:val="30"/>
        </w:rPr>
        <w:t>一、指导思想</w:t>
      </w:r>
    </w:p>
    <w:p>
      <w:pPr>
        <w:widowControl/>
        <w:numPr>
          <w:ilvl w:val="0"/>
          <w:numId w:val="1"/>
        </w:numPr>
        <w:adjustRightInd w:val="0"/>
        <w:snapToGrid w:val="0"/>
        <w:spacing w:line="560" w:lineRule="exact"/>
        <w:ind w:left="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以习近平新时代中国特色社会主义思想为指导，</w:t>
      </w:r>
      <w:r>
        <w:rPr>
          <w:rFonts w:ascii="仿宋_GB2312" w:eastAsia="仿宋_GB2312"/>
          <w:sz w:val="32"/>
          <w:szCs w:val="32"/>
        </w:rPr>
        <w:t>深入贯彻习近平总书记对广东、深圳</w:t>
      </w:r>
      <w:r>
        <w:rPr>
          <w:rFonts w:hint="eastAsia" w:ascii="仿宋_GB2312" w:eastAsia="仿宋_GB2312"/>
          <w:sz w:val="32"/>
          <w:szCs w:val="32"/>
        </w:rPr>
        <w:t>的</w:t>
      </w:r>
      <w:r>
        <w:rPr>
          <w:rFonts w:ascii="仿宋_GB2312" w:eastAsia="仿宋_GB2312"/>
          <w:sz w:val="32"/>
          <w:szCs w:val="32"/>
        </w:rPr>
        <w:t>重要</w:t>
      </w:r>
      <w:r>
        <w:rPr>
          <w:rFonts w:hint="eastAsia" w:ascii="仿宋_GB2312" w:eastAsia="仿宋_GB2312"/>
          <w:sz w:val="32"/>
          <w:szCs w:val="32"/>
        </w:rPr>
        <w:t>讲话和</w:t>
      </w:r>
      <w:r>
        <w:rPr>
          <w:rFonts w:ascii="仿宋_GB2312" w:eastAsia="仿宋_GB2312"/>
          <w:sz w:val="32"/>
          <w:szCs w:val="32"/>
        </w:rPr>
        <w:t>指示批示精神</w:t>
      </w:r>
      <w:r>
        <w:rPr>
          <w:rFonts w:hint="eastAsia" w:ascii="仿宋_GB2312" w:eastAsia="仿宋_GB2312"/>
          <w:sz w:val="32"/>
          <w:szCs w:val="32"/>
        </w:rPr>
        <w:t>，围绕深化计量工作改革创新，以贸易结算用计量器具强制检定管理制度改革试点为着力点，调整强制检定监管方式，加强计量监管科技赋能，探索建立新型计量监管体系，打造计量工作社会共建共治新格局，为推进计量治理体系和治理能力现代化提供深圳样本。</w:t>
      </w:r>
    </w:p>
    <w:p>
      <w:pPr>
        <w:adjustRightInd w:val="0"/>
        <w:snapToGrid w:val="0"/>
        <w:spacing w:line="560" w:lineRule="exact"/>
        <w:ind w:firstLine="640" w:firstLineChars="200"/>
        <w:rPr>
          <w:rFonts w:ascii="黑体" w:hAnsi="黑体" w:eastAsia="黑体" w:cs="黑体"/>
          <w:bCs/>
          <w:sz w:val="32"/>
          <w:szCs w:val="30"/>
        </w:rPr>
      </w:pPr>
      <w:r>
        <w:rPr>
          <w:rFonts w:hint="eastAsia" w:ascii="黑体" w:hAnsi="黑体" w:eastAsia="黑体" w:cs="黑体"/>
          <w:bCs/>
          <w:sz w:val="32"/>
          <w:szCs w:val="30"/>
        </w:rPr>
        <w:t>二、工作目标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综合运用在线计量数据监测和抽查</w:t>
      </w:r>
      <w:r>
        <w:rPr>
          <w:rFonts w:hint="eastAsia" w:ascii="仿宋_GB2312" w:eastAsia="仿宋_GB2312"/>
          <w:sz w:val="32"/>
          <w:szCs w:val="32"/>
          <w:lang w:val="en-US" w:eastAsia="zh-CN"/>
        </w:rPr>
        <w:t>检定</w:t>
      </w:r>
      <w:r>
        <w:rPr>
          <w:rFonts w:hint="eastAsia" w:ascii="仿宋_GB2312" w:eastAsia="仿宋_GB2312"/>
          <w:sz w:val="32"/>
          <w:szCs w:val="32"/>
        </w:rPr>
        <w:t>等监管方式，改革创新贸易结算用计量器具监督管理方式。加强在线计量技术的研究应用，构建电动车充电桩强制检定管理制度框架。强化计量器具的事中事后监管，探索建立计量信用管理机制，加强计量投诉举报调解处置工作，切实保护贸易双方合法权益。逐步建立健全规范有序、顺畅高效的计量智慧监管体系，为强制检定管理制度改革创新探索可复制、可推广的经验。</w:t>
      </w:r>
    </w:p>
    <w:p>
      <w:pPr>
        <w:adjustRightInd w:val="0"/>
        <w:snapToGrid w:val="0"/>
        <w:spacing w:line="560" w:lineRule="exact"/>
        <w:ind w:firstLine="640" w:firstLineChars="200"/>
        <w:rPr>
          <w:rFonts w:ascii="黑体" w:hAnsi="黑体" w:eastAsia="黑体" w:cs="黑体"/>
          <w:bCs/>
          <w:sz w:val="32"/>
          <w:szCs w:val="30"/>
        </w:rPr>
      </w:pPr>
      <w:r>
        <w:rPr>
          <w:rFonts w:hint="eastAsia" w:ascii="黑体" w:hAnsi="黑体" w:eastAsia="黑体" w:cs="黑体"/>
          <w:bCs/>
          <w:sz w:val="32"/>
          <w:szCs w:val="30"/>
        </w:rPr>
        <w:t>三、工作原则</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（一）统筹谋划，共建共治。</w:t>
      </w:r>
      <w:r>
        <w:rPr>
          <w:rFonts w:hint="eastAsia" w:ascii="仿宋_GB2312" w:eastAsia="仿宋_GB2312"/>
          <w:sz w:val="32"/>
          <w:szCs w:val="32"/>
        </w:rPr>
        <w:t>统筹谋划贸易结算用强制检定计量器具</w:t>
      </w:r>
      <w:r>
        <w:rPr>
          <w:rFonts w:ascii="仿宋_GB2312" w:eastAsia="仿宋_GB2312"/>
          <w:sz w:val="32"/>
          <w:szCs w:val="32"/>
        </w:rPr>
        <w:t>监管模式创新</w:t>
      </w:r>
      <w:r>
        <w:rPr>
          <w:rFonts w:hint="eastAsia" w:ascii="仿宋_GB2312" w:eastAsia="仿宋_GB2312"/>
          <w:sz w:val="32"/>
          <w:szCs w:val="32"/>
        </w:rPr>
        <w:t>，疏通化解目前强制检定管理制度中存在的“堵点”“难点”问题。充分发挥市场主体作用，支持完善企业计量体系。提升计量公共服务和保障能力，优化计量测试服务业市场供给。提高全社会计量意识，构筑计量工作共建共治的良好局面。</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（二）重点突破，稳步</w:t>
      </w:r>
      <w:r>
        <w:rPr>
          <w:rFonts w:ascii="仿宋_GB2312" w:eastAsia="仿宋_GB2312"/>
          <w:b/>
          <w:sz w:val="32"/>
          <w:szCs w:val="32"/>
        </w:rPr>
        <w:t>推进</w:t>
      </w:r>
      <w:r>
        <w:rPr>
          <w:rFonts w:hint="eastAsia" w:ascii="仿宋_GB2312" w:eastAsia="仿宋_GB2312"/>
          <w:b/>
          <w:sz w:val="32"/>
          <w:szCs w:val="32"/>
        </w:rPr>
        <w:t>。</w:t>
      </w:r>
      <w:r>
        <w:rPr>
          <w:rFonts w:hint="eastAsia" w:ascii="仿宋_GB2312" w:eastAsia="仿宋_GB2312"/>
          <w:sz w:val="32"/>
          <w:szCs w:val="32"/>
        </w:rPr>
        <w:t>研究分析贸易结算用强制检定计量器具管理现状，重点对农贸市场电子秤、电动汽车充电桩等强制检定管理方式实施</w:t>
      </w:r>
      <w:r>
        <w:rPr>
          <w:rFonts w:ascii="仿宋_GB2312" w:eastAsia="仿宋_GB2312"/>
          <w:sz w:val="32"/>
          <w:szCs w:val="32"/>
        </w:rPr>
        <w:t>递进式</w:t>
      </w:r>
      <w:r>
        <w:rPr>
          <w:rFonts w:hint="eastAsia" w:ascii="仿宋_GB2312" w:eastAsia="仿宋_GB2312"/>
          <w:sz w:val="32"/>
          <w:szCs w:val="32"/>
        </w:rPr>
        <w:t>突破。扎实稳妥的推进试点改革各项工作，确保试点一批、成熟一批、推广一批。</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（三）协同创新，试点示范。</w:t>
      </w:r>
      <w:r>
        <w:rPr>
          <w:rFonts w:hint="eastAsia" w:ascii="仿宋_GB2312" w:eastAsia="仿宋_GB2312"/>
          <w:sz w:val="32"/>
          <w:szCs w:val="32"/>
        </w:rPr>
        <w:t>鼓励产学研协同创新，加强计量共性技术的研究与应用，不断夯实计量基础能力建设。支持完善计量技术规范，注重总结试点工作经验，努力形成先行示范的试点成果</w:t>
      </w:r>
      <w:r>
        <w:rPr>
          <w:rFonts w:ascii="仿宋_GB2312" w:eastAsia="仿宋_GB2312"/>
          <w:sz w:val="32"/>
          <w:szCs w:val="32"/>
        </w:rPr>
        <w:t>。</w:t>
      </w:r>
    </w:p>
    <w:p>
      <w:pPr>
        <w:widowControl/>
        <w:shd w:val="clear" w:color="auto" w:fill="FFFFFF"/>
        <w:adjustRightInd w:val="0"/>
        <w:snapToGrid w:val="0"/>
        <w:spacing w:line="560" w:lineRule="exact"/>
        <w:ind w:firstLine="640" w:firstLineChars="200"/>
        <w:rPr>
          <w:rFonts w:ascii="黑体" w:hAnsi="黑体" w:eastAsia="黑体" w:cs="黑体"/>
          <w:bCs/>
          <w:sz w:val="32"/>
          <w:szCs w:val="30"/>
        </w:rPr>
      </w:pPr>
      <w:r>
        <w:rPr>
          <w:rFonts w:hint="eastAsia" w:ascii="黑体" w:hAnsi="黑体" w:eastAsia="黑体" w:cs="黑体"/>
          <w:bCs/>
          <w:sz w:val="32"/>
          <w:szCs w:val="30"/>
        </w:rPr>
        <w:t>四、主要任务</w:t>
      </w:r>
    </w:p>
    <w:p>
      <w:pPr>
        <w:adjustRightInd w:val="0"/>
        <w:snapToGrid w:val="0"/>
        <w:spacing w:line="560" w:lineRule="exact"/>
        <w:ind w:left="638" w:leftChars="304"/>
        <w:rPr>
          <w:rFonts w:ascii="仿宋_GB2312" w:eastAsia="仿宋_GB2312"/>
          <w:b/>
          <w:bCs/>
          <w:sz w:val="32"/>
          <w:szCs w:val="32"/>
        </w:rPr>
      </w:pPr>
      <w:r>
        <w:rPr>
          <w:rFonts w:hint="eastAsia" w:ascii="仿宋_GB2312" w:eastAsia="仿宋_GB2312"/>
          <w:b/>
          <w:bCs/>
          <w:sz w:val="32"/>
          <w:szCs w:val="32"/>
        </w:rPr>
        <w:t>（一）实施信息化管理，完善市场主体数据库。</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结合宣传培训和日常监管工作，开展贸易结算用强制检定计量器具基础信息摸查工作，</w:t>
      </w:r>
      <w:r>
        <w:rPr>
          <w:rFonts w:hint="eastAsia" w:ascii="仿宋_GB2312" w:eastAsia="仿宋_GB2312"/>
          <w:bCs/>
          <w:sz w:val="32"/>
          <w:szCs w:val="32"/>
        </w:rPr>
        <w:t>引导</w:t>
      </w:r>
      <w:r>
        <w:rPr>
          <w:rFonts w:hint="eastAsia" w:ascii="仿宋_GB2312" w:hAnsi="宋体" w:eastAsia="仿宋_GB2312"/>
          <w:sz w:val="32"/>
          <w:szCs w:val="32"/>
        </w:rPr>
        <w:t>督促市场主体登记备案使用的强制检定工作计量器具。依托市场监管平台完善市场主体信息，理顺市场主体与贸易结算用强制检定计量器具关联关系，为试点改革工作提供基础依据。</w:t>
      </w:r>
    </w:p>
    <w:p>
      <w:pPr>
        <w:adjustRightInd w:val="0"/>
        <w:snapToGrid w:val="0"/>
        <w:spacing w:line="560" w:lineRule="exact"/>
        <w:ind w:firstLine="643" w:firstLineChars="200"/>
        <w:rPr>
          <w:rFonts w:ascii="仿宋_GB2312" w:hAnsi="宋体" w:eastAsia="仿宋_GB2312"/>
          <w:b/>
          <w:bCs/>
          <w:sz w:val="32"/>
          <w:szCs w:val="32"/>
        </w:rPr>
      </w:pPr>
      <w:r>
        <w:rPr>
          <w:rFonts w:hint="eastAsia" w:ascii="仿宋_GB2312" w:eastAsia="仿宋_GB2312"/>
          <w:b/>
          <w:bCs/>
          <w:sz w:val="32"/>
          <w:szCs w:val="32"/>
        </w:rPr>
        <w:t>（二）优化法治环境，落实市场主体责任</w:t>
      </w:r>
      <w:r>
        <w:rPr>
          <w:rFonts w:hint="eastAsia" w:ascii="仿宋_GB2312" w:hAnsi="宋体" w:eastAsia="仿宋_GB2312"/>
          <w:b/>
          <w:bCs/>
          <w:sz w:val="32"/>
          <w:szCs w:val="32"/>
        </w:rPr>
        <w:t>。</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eastAsia="仿宋_GB2312"/>
          <w:bCs/>
          <w:sz w:val="32"/>
          <w:szCs w:val="32"/>
        </w:rPr>
        <w:t>推动修订《深圳经济特区计量条例》，推进简政放权、放管结合、优化服务。逐步调整农贸市场电子秤等贸易结算用强检计量器具监管方式，将抽查检定替代现有首次强制检定、周期检定等强检方式，降低企业和社会成本。建立完善市场主体计量工作首负责任制，促使市场主体在贸易结算用计量器具制造、修理和使用等方面加强自我监督、履行法定义务。</w:t>
      </w:r>
    </w:p>
    <w:p>
      <w:pPr>
        <w:adjustRightInd w:val="0"/>
        <w:snapToGrid w:val="0"/>
        <w:spacing w:line="560" w:lineRule="exact"/>
        <w:ind w:firstLine="643" w:firstLineChars="200"/>
        <w:rPr>
          <w:rFonts w:ascii="仿宋_GB2312" w:hAnsi="宋体" w:eastAsia="仿宋_GB2312"/>
          <w:b/>
          <w:bCs/>
          <w:sz w:val="32"/>
          <w:szCs w:val="32"/>
        </w:rPr>
      </w:pPr>
      <w:r>
        <w:rPr>
          <w:rFonts w:hint="eastAsia" w:ascii="仿宋_GB2312" w:hAnsi="宋体" w:eastAsia="仿宋_GB2312"/>
          <w:b/>
          <w:bCs/>
          <w:sz w:val="32"/>
          <w:szCs w:val="32"/>
        </w:rPr>
        <w:t>（三）开展在线监测，探索计量智慧监管。</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color w:val="000000"/>
          <w:sz w:val="32"/>
          <w:szCs w:val="32"/>
        </w:rPr>
        <w:t>支持“互联网</w:t>
      </w:r>
      <w:r>
        <w:rPr>
          <w:rFonts w:ascii="仿宋_GB2312" w:hAnsi="仿宋_GB2312" w:eastAsia="仿宋_GB2312" w:cs="仿宋_GB2312"/>
          <w:color w:val="000000"/>
          <w:sz w:val="32"/>
          <w:szCs w:val="32"/>
        </w:rPr>
        <w:t>+计量”融合创新，</w:t>
      </w:r>
      <w:r>
        <w:rPr>
          <w:rFonts w:hint="eastAsia" w:ascii="仿宋_GB2312" w:hAnsi="仿宋_GB2312" w:eastAsia="仿宋_GB2312" w:cs="仿宋_GB2312"/>
          <w:color w:val="000000"/>
          <w:sz w:val="32"/>
          <w:szCs w:val="32"/>
        </w:rPr>
        <w:t>鼓励计量在线监测技术的研发应用，探索在更多领域实施计量智慧监管。推广农贸市场电子秤计量作弊行为实时精准监管方法，扩展衡器计量数据在线监测的应用场景。组织研究电动汽车充电桩在线计量方法，探索建立现场检定和大数据分析相结合的计量监管新模式。</w:t>
      </w:r>
    </w:p>
    <w:p>
      <w:pPr>
        <w:adjustRightInd w:val="0"/>
        <w:snapToGrid w:val="0"/>
        <w:spacing w:line="560" w:lineRule="exact"/>
        <w:ind w:firstLine="643" w:firstLineChars="200"/>
        <w:rPr>
          <w:rFonts w:ascii="仿宋_GB2312" w:hAnsi="宋体" w:eastAsia="仿宋_GB2312"/>
          <w:b/>
          <w:bCs/>
          <w:sz w:val="32"/>
          <w:szCs w:val="32"/>
        </w:rPr>
      </w:pPr>
      <w:r>
        <w:rPr>
          <w:rFonts w:hint="eastAsia" w:ascii="仿宋_GB2312" w:hAnsi="宋体" w:eastAsia="仿宋_GB2312"/>
          <w:b/>
          <w:bCs/>
          <w:sz w:val="32"/>
          <w:szCs w:val="32"/>
        </w:rPr>
        <w:t>（四）强化事中事后监管，树立社会共治理念。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sz w:val="32"/>
          <w:szCs w:val="32"/>
        </w:rPr>
        <w:t>及时调解处置消费者关于计量器具的投诉，</w:t>
      </w:r>
      <w:r>
        <w:rPr>
          <w:rFonts w:hint="eastAsia" w:ascii="仿宋_GB2312" w:hAnsi="宋体" w:eastAsia="仿宋_GB2312"/>
          <w:bCs/>
          <w:sz w:val="32"/>
          <w:szCs w:val="32"/>
        </w:rPr>
        <w:t>切实保护贸易双方合法权益。</w:t>
      </w:r>
      <w:r>
        <w:rPr>
          <w:rFonts w:hint="eastAsia" w:ascii="仿宋_GB2312" w:hAnsi="仿宋_GB2312" w:eastAsia="仿宋_GB2312" w:cs="仿宋_GB2312"/>
          <w:color w:val="000000"/>
          <w:sz w:val="32"/>
          <w:szCs w:val="32"/>
        </w:rPr>
        <w:t>大力推进诚信计量体系建设，</w:t>
      </w:r>
      <w:r>
        <w:rPr>
          <w:rFonts w:hint="eastAsia" w:ascii="仿宋_GB2312" w:hAnsi="宋体" w:eastAsia="仿宋_GB2312"/>
          <w:sz w:val="32"/>
          <w:szCs w:val="32"/>
        </w:rPr>
        <w:t>鼓励开展诚信计量自我承诺，</w:t>
      </w:r>
      <w:r>
        <w:rPr>
          <w:rFonts w:hint="eastAsia" w:ascii="仿宋_GB2312" w:hAnsi="仿宋_GB2312" w:eastAsia="仿宋_GB2312" w:cs="仿宋_GB2312"/>
          <w:color w:val="000000"/>
          <w:sz w:val="32"/>
          <w:szCs w:val="32"/>
        </w:rPr>
        <w:t>培养行业计量自律意识，探索推行</w:t>
      </w:r>
      <w:r>
        <w:rPr>
          <w:rFonts w:hint="eastAsia" w:ascii="仿宋" w:hAnsi="仿宋" w:eastAsia="仿宋" w:cs="仿宋"/>
          <w:color w:val="000000"/>
          <w:kern w:val="0"/>
          <w:sz w:val="32"/>
          <w:szCs w:val="32"/>
        </w:rPr>
        <w:t>先行赔付或者设置赔付资金等快速赔付</w:t>
      </w:r>
      <w:r>
        <w:rPr>
          <w:rFonts w:hint="eastAsia" w:ascii="仿宋" w:hAnsi="仿宋" w:eastAsia="仿宋" w:cs="仿宋"/>
          <w:sz w:val="32"/>
          <w:szCs w:val="32"/>
        </w:rPr>
        <w:t>等制度</w:t>
      </w:r>
      <w:r>
        <w:rPr>
          <w:rFonts w:hint="eastAsia" w:ascii="仿宋_GB2312" w:hAnsi="仿宋_GB2312" w:eastAsia="仿宋_GB2312" w:cs="仿宋_GB2312"/>
          <w:color w:val="000000"/>
          <w:sz w:val="32"/>
          <w:szCs w:val="32"/>
        </w:rPr>
        <w:t>。</w:t>
      </w:r>
      <w:r>
        <w:rPr>
          <w:rFonts w:hint="eastAsia" w:ascii="仿宋_GB2312" w:hAnsi="宋体" w:eastAsia="仿宋_GB2312"/>
          <w:bCs/>
          <w:sz w:val="32"/>
          <w:szCs w:val="32"/>
        </w:rPr>
        <w:t>根据日常监管、</w:t>
      </w:r>
      <w:r>
        <w:rPr>
          <w:rFonts w:hint="eastAsia" w:ascii="仿宋_GB2312" w:hAnsi="宋体" w:eastAsia="仿宋_GB2312"/>
          <w:bCs/>
          <w:sz w:val="32"/>
          <w:szCs w:val="32"/>
          <w:lang w:eastAsia="zh-CN"/>
        </w:rPr>
        <w:t>抽查检定</w:t>
      </w:r>
      <w:r>
        <w:rPr>
          <w:rFonts w:hint="eastAsia" w:ascii="仿宋_GB2312" w:hAnsi="宋体" w:eastAsia="仿宋_GB2312"/>
          <w:bCs/>
          <w:sz w:val="32"/>
          <w:szCs w:val="32"/>
        </w:rPr>
        <w:t>和在线监测等情况，建立健全</w:t>
      </w:r>
      <w:r>
        <w:rPr>
          <w:rFonts w:hint="eastAsia" w:ascii="仿宋_GB2312" w:hAnsi="宋体" w:eastAsia="仿宋_GB2312"/>
          <w:sz w:val="32"/>
          <w:szCs w:val="32"/>
        </w:rPr>
        <w:t>市场主体</w:t>
      </w:r>
      <w:r>
        <w:rPr>
          <w:rFonts w:hint="eastAsia" w:ascii="仿宋_GB2312" w:hAnsi="宋体" w:eastAsia="仿宋_GB2312"/>
          <w:bCs/>
          <w:sz w:val="32"/>
          <w:szCs w:val="32"/>
        </w:rPr>
        <w:t>计量信用档案。强化</w:t>
      </w:r>
      <w:r>
        <w:rPr>
          <w:rFonts w:hint="eastAsia" w:ascii="仿宋" w:hAnsi="仿宋" w:eastAsia="仿宋" w:cs="仿宋"/>
          <w:sz w:val="32"/>
          <w:szCs w:val="32"/>
        </w:rPr>
        <w:t>诚信计量信息应用和</w:t>
      </w:r>
      <w:r>
        <w:rPr>
          <w:rFonts w:hint="eastAsia" w:ascii="仿宋_GB2312" w:hAnsi="宋体" w:eastAsia="仿宋_GB2312"/>
          <w:bCs/>
          <w:sz w:val="32"/>
          <w:szCs w:val="32"/>
        </w:rPr>
        <w:t>舆论监督，曝光</w:t>
      </w:r>
      <w:r>
        <w:rPr>
          <w:rFonts w:hint="eastAsia" w:ascii="仿宋_GB2312" w:hAnsi="仿宋_GB2312" w:eastAsia="仿宋_GB2312" w:cs="仿宋_GB2312"/>
          <w:color w:val="000000"/>
          <w:sz w:val="32"/>
          <w:szCs w:val="32"/>
        </w:rPr>
        <w:t>计量失信行为，</w:t>
      </w:r>
      <w:r>
        <w:rPr>
          <w:rFonts w:hint="eastAsia" w:ascii="仿宋_GB2312" w:hAnsi="宋体" w:eastAsia="仿宋_GB2312"/>
          <w:sz w:val="32"/>
          <w:szCs w:val="32"/>
        </w:rPr>
        <w:t>营造全民监督</w:t>
      </w:r>
      <w:r>
        <w:rPr>
          <w:rFonts w:hint="eastAsia" w:ascii="仿宋_GB2312" w:eastAsia="仿宋_GB2312"/>
          <w:sz w:val="32"/>
          <w:szCs w:val="32"/>
        </w:rPr>
        <w:t>、社会共治的氛围</w:t>
      </w:r>
      <w:r>
        <w:rPr>
          <w:rFonts w:hint="eastAsia" w:ascii="仿宋_GB2312" w:hAnsi="仿宋_GB2312" w:eastAsia="仿宋_GB2312" w:cs="仿宋_GB2312"/>
          <w:color w:val="000000"/>
          <w:sz w:val="32"/>
          <w:szCs w:val="32"/>
        </w:rPr>
        <w:t>。</w:t>
      </w:r>
    </w:p>
    <w:p>
      <w:pPr>
        <w:widowControl/>
        <w:shd w:val="clear" w:color="auto" w:fill="FFFFFF"/>
        <w:adjustRightInd w:val="0"/>
        <w:snapToGrid w:val="0"/>
        <w:spacing w:line="560" w:lineRule="exact"/>
        <w:ind w:firstLine="640" w:firstLineChars="200"/>
        <w:rPr>
          <w:rFonts w:ascii="黑体" w:hAnsi="黑体" w:eastAsia="黑体" w:cs="黑体"/>
          <w:bCs/>
          <w:sz w:val="32"/>
          <w:szCs w:val="30"/>
        </w:rPr>
      </w:pPr>
      <w:r>
        <w:rPr>
          <w:rFonts w:hint="eastAsia" w:ascii="黑体" w:hAnsi="黑体" w:eastAsia="黑体" w:cs="黑体"/>
          <w:bCs/>
          <w:sz w:val="32"/>
          <w:szCs w:val="30"/>
        </w:rPr>
        <w:t>五、工作步骤</w:t>
      </w:r>
    </w:p>
    <w:p>
      <w:pPr>
        <w:adjustRightInd w:val="0"/>
        <w:snapToGrid w:val="0"/>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（一）第一阶段：筹划和确定方案（2021年2月-2021年9月）</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1.深入调查研究，明确法律适用原则，确定试点工作目标和具体内容，制定试点工作方案；</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2.全面梳理贸易结算用强制检定计量器具备案数据，建立市场主体信息档案；</w:t>
      </w:r>
    </w:p>
    <w:p>
      <w:pPr>
        <w:adjustRightInd w:val="0"/>
        <w:snapToGrid w:val="0"/>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sz w:val="32"/>
          <w:szCs w:val="32"/>
        </w:rPr>
        <w:t>3</w:t>
      </w:r>
      <w:r>
        <w:rPr>
          <w:rFonts w:ascii="仿宋_GB2312" w:hAnsi="仿宋" w:eastAsia="仿宋_GB2312" w:cs="仿宋"/>
          <w:sz w:val="32"/>
          <w:szCs w:val="32"/>
        </w:rPr>
        <w:t>.</w:t>
      </w:r>
      <w:r>
        <w:rPr>
          <w:rFonts w:hint="eastAsia" w:ascii="仿宋_GB2312" w:hAnsi="仿宋" w:eastAsia="仿宋_GB2312" w:cs="仿宋"/>
          <w:sz w:val="32"/>
          <w:szCs w:val="32"/>
        </w:rPr>
        <w:t>开展电动汽车充电桩在线计量技术研</w:t>
      </w:r>
      <w:r>
        <w:rPr>
          <w:rFonts w:hint="eastAsia" w:ascii="仿宋_GB2312" w:hAnsi="仿宋" w:eastAsia="仿宋_GB2312" w:cs="仿宋"/>
          <w:color w:val="auto"/>
          <w:sz w:val="32"/>
          <w:szCs w:val="32"/>
        </w:rPr>
        <w:t>究，制定电动汽车充电桩强制检定改革试点实施方案；</w:t>
      </w:r>
    </w:p>
    <w:p>
      <w:pPr>
        <w:adjustRightInd w:val="0"/>
        <w:snapToGrid w:val="0"/>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.选择检定方式具有代表性、在线监测有着初步经验的农贸市场电子秤，编制抽查检定实施方案。</w:t>
      </w:r>
    </w:p>
    <w:p>
      <w:pPr>
        <w:adjustRightInd w:val="0"/>
        <w:snapToGrid w:val="0"/>
        <w:spacing w:line="560" w:lineRule="exact"/>
        <w:ind w:firstLine="643" w:firstLineChars="200"/>
        <w:jc w:val="left"/>
        <w:rPr>
          <w:rFonts w:ascii="仿宋_GB2312" w:hAnsi="仿宋" w:eastAsia="仿宋_GB2312" w:cs="仿宋"/>
          <w:b/>
          <w:bCs/>
          <w:sz w:val="32"/>
          <w:szCs w:val="32"/>
        </w:rPr>
      </w:pPr>
      <w:r>
        <w:rPr>
          <w:rFonts w:hint="eastAsia" w:ascii="仿宋_GB2312" w:hAnsi="仿宋" w:eastAsia="仿宋_GB2312" w:cs="仿宋"/>
          <w:b/>
          <w:bCs/>
          <w:sz w:val="32"/>
          <w:szCs w:val="32"/>
        </w:rPr>
        <w:t>（二）第二阶段：组织实施（2021年10月-2022年9月）</w:t>
      </w:r>
    </w:p>
    <w:p>
      <w:pPr>
        <w:adjustRightInd w:val="0"/>
        <w:snapToGrid w:val="0"/>
        <w:spacing w:line="560" w:lineRule="exact"/>
        <w:ind w:firstLine="640" w:firstLineChars="200"/>
        <w:jc w:val="left"/>
        <w:rPr>
          <w:rFonts w:ascii="仿宋_GB2312" w:hAnsi="仿宋" w:eastAsia="仿宋_GB2312" w:cs="仿宋"/>
          <w:color w:val="auto"/>
          <w:sz w:val="32"/>
          <w:szCs w:val="32"/>
        </w:rPr>
      </w:pPr>
      <w:r>
        <w:rPr>
          <w:rFonts w:hint="eastAsia" w:ascii="仿宋_GB2312" w:hAnsi="仿宋" w:eastAsia="仿宋_GB2312" w:cs="仿宋"/>
          <w:bCs/>
          <w:sz w:val="32"/>
          <w:szCs w:val="32"/>
        </w:rPr>
        <w:t>1.</w:t>
      </w:r>
      <w:r>
        <w:rPr>
          <w:rFonts w:hint="eastAsia" w:ascii="仿宋_GB2312" w:eastAsia="仿宋_GB2312"/>
        </w:rPr>
        <w:t xml:space="preserve"> </w:t>
      </w:r>
      <w:r>
        <w:rPr>
          <w:rFonts w:hint="eastAsia" w:ascii="仿宋_GB2312" w:hAnsi="仿宋" w:eastAsia="仿宋_GB2312" w:cs="仿宋"/>
          <w:bCs/>
          <w:sz w:val="32"/>
          <w:szCs w:val="32"/>
        </w:rPr>
        <w:t>开展农贸市</w:t>
      </w:r>
      <w:r>
        <w:rPr>
          <w:rFonts w:hint="eastAsia" w:ascii="仿宋_GB2312" w:hAnsi="仿宋" w:eastAsia="仿宋_GB2312" w:cs="仿宋"/>
          <w:bCs/>
          <w:color w:val="auto"/>
          <w:sz w:val="32"/>
          <w:szCs w:val="32"/>
        </w:rPr>
        <w:t>场电子秤、</w:t>
      </w:r>
      <w:r>
        <w:rPr>
          <w:rFonts w:hint="eastAsia" w:ascii="仿宋_GB2312" w:hAnsi="仿宋" w:eastAsia="仿宋_GB2312" w:cs="仿宋"/>
          <w:color w:val="auto"/>
          <w:sz w:val="32"/>
          <w:szCs w:val="32"/>
        </w:rPr>
        <w:t>电动汽车充电桩</w:t>
      </w:r>
      <w:r>
        <w:rPr>
          <w:rFonts w:hint="eastAsia" w:ascii="仿宋_GB2312" w:hAnsi="仿宋" w:eastAsia="仿宋_GB2312" w:cs="仿宋"/>
          <w:bCs/>
          <w:color w:val="auto"/>
          <w:sz w:val="32"/>
          <w:szCs w:val="32"/>
        </w:rPr>
        <w:t>等计量器具强制检定管理制度改革实施工作；</w:t>
      </w:r>
    </w:p>
    <w:p>
      <w:pPr>
        <w:adjustRightInd w:val="0"/>
        <w:snapToGrid w:val="0"/>
        <w:spacing w:line="560" w:lineRule="exact"/>
        <w:ind w:firstLine="640" w:firstLineChars="200"/>
        <w:rPr>
          <w:rFonts w:ascii="仿宋_GB2312" w:hAnsi="仿宋" w:eastAsia="仿宋_GB2312" w:cs="仿宋"/>
          <w:color w:val="auto"/>
          <w:sz w:val="32"/>
          <w:szCs w:val="32"/>
        </w:rPr>
      </w:pPr>
      <w:r>
        <w:rPr>
          <w:rFonts w:ascii="仿宋_GB2312" w:hAnsi="仿宋" w:eastAsia="仿宋_GB2312" w:cs="仿宋"/>
          <w:color w:val="auto"/>
          <w:sz w:val="32"/>
          <w:szCs w:val="32"/>
        </w:rPr>
        <w:t>2</w:t>
      </w:r>
      <w:r>
        <w:rPr>
          <w:rFonts w:hint="eastAsia" w:ascii="仿宋_GB2312" w:hAnsi="仿宋" w:eastAsia="仿宋_GB2312" w:cs="仿宋"/>
          <w:color w:val="auto"/>
          <w:sz w:val="32"/>
          <w:szCs w:val="32"/>
        </w:rPr>
        <w:t>．组织研制计量信用评级标准，明确计量</w:t>
      </w:r>
      <w:bookmarkStart w:id="0" w:name="_GoBack"/>
      <w:bookmarkEnd w:id="0"/>
      <w:r>
        <w:rPr>
          <w:rFonts w:hint="eastAsia" w:ascii="仿宋_GB2312" w:hAnsi="仿宋" w:eastAsia="仿宋_GB2312" w:cs="仿宋"/>
          <w:color w:val="auto"/>
          <w:sz w:val="32"/>
          <w:szCs w:val="32"/>
        </w:rPr>
        <w:t>信用等级分类、检定抽查频率和两者联动规则等内容；</w:t>
      </w:r>
    </w:p>
    <w:p>
      <w:pPr>
        <w:adjustRightInd w:val="0"/>
        <w:snapToGrid w:val="0"/>
        <w:spacing w:line="560" w:lineRule="exact"/>
        <w:ind w:firstLine="640" w:firstLineChars="200"/>
        <w:rPr>
          <w:rFonts w:hint="eastAsia" w:ascii="仿宋_GB2312" w:hAnsi="仿宋" w:eastAsia="仿宋_GB2312" w:cs="仿宋"/>
          <w:color w:val="0000FF"/>
          <w:sz w:val="32"/>
          <w:szCs w:val="32"/>
        </w:rPr>
      </w:pPr>
      <w:r>
        <w:rPr>
          <w:rFonts w:ascii="仿宋_GB2312" w:hAnsi="仿宋" w:eastAsia="仿宋_GB2312" w:cs="仿宋"/>
          <w:color w:val="auto"/>
          <w:sz w:val="32"/>
          <w:szCs w:val="32"/>
        </w:rPr>
        <w:t>3</w:t>
      </w:r>
      <w:r>
        <w:rPr>
          <w:rFonts w:hint="eastAsia" w:ascii="仿宋_GB2312" w:hAnsi="仿宋" w:eastAsia="仿宋_GB2312" w:cs="仿宋"/>
          <w:color w:val="auto"/>
          <w:sz w:val="32"/>
          <w:szCs w:val="32"/>
        </w:rPr>
        <w:t>.推动建设电动汽车充电桩计量示范站，就电动汽车充电桩试点工作成效，形成阶段总结报告市场监管总局。</w:t>
      </w:r>
    </w:p>
    <w:p>
      <w:pPr>
        <w:adjustRightInd w:val="0"/>
        <w:snapToGrid w:val="0"/>
        <w:spacing w:line="560" w:lineRule="exact"/>
        <w:ind w:firstLine="643" w:firstLineChars="200"/>
        <w:jc w:val="left"/>
        <w:rPr>
          <w:rFonts w:ascii="仿宋_GB2312" w:hAnsi="仿宋" w:eastAsia="仿宋_GB2312" w:cs="仿宋"/>
          <w:b/>
          <w:bCs/>
          <w:sz w:val="32"/>
          <w:szCs w:val="32"/>
        </w:rPr>
      </w:pPr>
      <w:r>
        <w:rPr>
          <w:rFonts w:hint="eastAsia" w:ascii="仿宋_GB2312" w:hAnsi="仿宋" w:eastAsia="仿宋_GB2312" w:cs="仿宋"/>
          <w:b/>
          <w:bCs/>
          <w:sz w:val="32"/>
          <w:szCs w:val="32"/>
        </w:rPr>
        <w:t>（三）第三阶段：全面推进（2022年10月-2023年9月）</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1.总结农贸市场电子秤</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电动汽车充电桩</w:t>
      </w:r>
      <w:r>
        <w:rPr>
          <w:rFonts w:hint="eastAsia" w:ascii="仿宋_GB2312" w:hAnsi="仿宋" w:eastAsia="仿宋_GB2312" w:cs="仿宋"/>
          <w:sz w:val="32"/>
          <w:szCs w:val="32"/>
        </w:rPr>
        <w:t>等强制检定管理制度改革工作经验，优化实施方案，深入推进试点工作；</w:t>
      </w:r>
    </w:p>
    <w:p>
      <w:pPr>
        <w:adjustRightInd w:val="0"/>
        <w:snapToGrid w:val="0"/>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.建立计量信用管理数据库，以此为基础做好事中事后监管；</w:t>
      </w:r>
    </w:p>
    <w:p>
      <w:pPr>
        <w:adjustRightInd w:val="0"/>
        <w:snapToGrid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w:t>
      </w:r>
      <w:r>
        <w:rPr>
          <w:rFonts w:ascii="仿宋_GB2312" w:hAnsi="仿宋" w:eastAsia="仿宋_GB2312" w:cs="仿宋"/>
          <w:sz w:val="32"/>
          <w:szCs w:val="32"/>
        </w:rPr>
        <w:t>.</w:t>
      </w:r>
      <w:r>
        <w:rPr>
          <w:rFonts w:hint="eastAsia" w:ascii="仿宋_GB2312" w:hAnsi="仿宋" w:eastAsia="仿宋_GB2312" w:cs="仿宋"/>
          <w:sz w:val="32"/>
          <w:szCs w:val="32"/>
        </w:rPr>
        <w:t>制定其他贸易结算用计量器具强制检定管理制度改革实施方案并组织实施。</w:t>
      </w:r>
    </w:p>
    <w:p>
      <w:pPr>
        <w:adjustRightInd w:val="0"/>
        <w:snapToGrid w:val="0"/>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（四）第四阶段：总结评估（2023年10月-2023年12月）</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收集整理试点工作各类文档，就试点过程中的创新举措及工作成效进行总结评估。按照试点工作要求，及时向市场监管总局报送试点成效。</w:t>
      </w:r>
    </w:p>
    <w:p>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六、工作要求</w:t>
      </w:r>
    </w:p>
    <w:p>
      <w:pPr>
        <w:widowControl/>
        <w:tabs>
          <w:tab w:val="left" w:pos="720"/>
        </w:tabs>
        <w:adjustRightInd w:val="0"/>
        <w:snapToGrid w:val="0"/>
        <w:spacing w:line="560" w:lineRule="exact"/>
        <w:ind w:firstLine="643" w:firstLineChars="200"/>
        <w:rPr>
          <w:rFonts w:ascii="仿宋_GB2312" w:hAnsi="仿宋_GB2312" w:eastAsia="仿宋_GB2312" w:cs="仿宋_GB2312"/>
          <w:sz w:val="32"/>
          <w:szCs w:val="32"/>
        </w:rPr>
      </w:pPr>
      <w:r>
        <w:rPr>
          <w:rFonts w:ascii="仿宋_GB2312" w:eastAsia="仿宋_GB2312"/>
          <w:b/>
          <w:bCs/>
          <w:sz w:val="32"/>
          <w:szCs w:val="32"/>
        </w:rPr>
        <w:t>（</w:t>
      </w:r>
      <w:r>
        <w:rPr>
          <w:rFonts w:hint="eastAsia" w:ascii="仿宋_GB2312" w:eastAsia="仿宋_GB2312"/>
          <w:b/>
          <w:bCs/>
          <w:sz w:val="32"/>
          <w:szCs w:val="32"/>
        </w:rPr>
        <w:t>一</w:t>
      </w:r>
      <w:r>
        <w:rPr>
          <w:rFonts w:ascii="仿宋_GB2312" w:eastAsia="仿宋_GB2312"/>
          <w:b/>
          <w:bCs/>
          <w:sz w:val="32"/>
          <w:szCs w:val="32"/>
        </w:rPr>
        <w:t>）</w:t>
      </w:r>
      <w:r>
        <w:rPr>
          <w:rFonts w:hint="eastAsia" w:ascii="仿宋_GB2312" w:eastAsia="仿宋_GB2312"/>
          <w:b/>
          <w:bCs/>
          <w:sz w:val="32"/>
          <w:szCs w:val="32"/>
        </w:rPr>
        <w:t>提高思想认识。</w:t>
      </w:r>
      <w:r>
        <w:rPr>
          <w:rFonts w:hint="eastAsia" w:ascii="仿宋_GB2312" w:hAnsi="仿宋_GB2312" w:eastAsia="仿宋_GB2312" w:cs="仿宋_GB2312"/>
          <w:sz w:val="32"/>
          <w:szCs w:val="32"/>
        </w:rPr>
        <w:t>试点改革工作涉及面广、工作量大。各相关单位要提高思想认识，坚持问题导向、效果导向，聚焦重点任务，设立阶段目标，确实履行好工作职责，确保试点改革各项工作顺利开展。</w:t>
      </w:r>
    </w:p>
    <w:p>
      <w:pPr>
        <w:widowControl/>
        <w:numPr>
          <w:ilvl w:val="0"/>
          <w:numId w:val="2"/>
        </w:numPr>
        <w:adjustRightInd w:val="0"/>
        <w:snapToGrid w:val="0"/>
        <w:spacing w:line="560" w:lineRule="exact"/>
        <w:ind w:left="0"/>
        <w:rPr>
          <w:rFonts w:ascii="仿宋_GB2312" w:hAnsi="仿宋_GB2312" w:eastAsia="仿宋_GB2312" w:cs="仿宋_GB2312"/>
          <w:sz w:val="32"/>
          <w:szCs w:val="32"/>
        </w:rPr>
      </w:pPr>
      <w:r>
        <w:rPr>
          <w:rFonts w:hint="eastAsia" w:ascii="仿宋_GB2312" w:eastAsia="仿宋_GB2312"/>
          <w:b/>
          <w:bCs/>
          <w:sz w:val="32"/>
          <w:szCs w:val="32"/>
        </w:rPr>
        <w:t xml:space="preserve"> </w:t>
      </w:r>
      <w:r>
        <w:rPr>
          <w:rFonts w:ascii="仿宋_GB2312" w:eastAsia="仿宋_GB2312"/>
          <w:b/>
          <w:bCs/>
          <w:sz w:val="32"/>
          <w:szCs w:val="32"/>
        </w:rPr>
        <w:t xml:space="preserve">   （</w:t>
      </w:r>
      <w:r>
        <w:rPr>
          <w:rFonts w:hint="eastAsia" w:ascii="仿宋_GB2312" w:eastAsia="仿宋_GB2312"/>
          <w:b/>
          <w:bCs/>
          <w:sz w:val="32"/>
          <w:szCs w:val="32"/>
        </w:rPr>
        <w:t>二</w:t>
      </w:r>
      <w:r>
        <w:rPr>
          <w:rFonts w:ascii="仿宋_GB2312" w:eastAsia="仿宋_GB2312"/>
          <w:b/>
          <w:bCs/>
          <w:sz w:val="32"/>
          <w:szCs w:val="32"/>
        </w:rPr>
        <w:t>）</w:t>
      </w:r>
      <w:r>
        <w:rPr>
          <w:rFonts w:hint="eastAsia" w:ascii="仿宋_GB2312" w:eastAsia="仿宋_GB2312"/>
          <w:b/>
          <w:bCs/>
          <w:sz w:val="32"/>
          <w:szCs w:val="32"/>
        </w:rPr>
        <w:t>加强组织实施。</w:t>
      </w:r>
      <w:r>
        <w:rPr>
          <w:rFonts w:hint="eastAsia" w:ascii="仿宋_GB2312" w:hAnsi="仿宋_GB2312" w:eastAsia="仿宋_GB2312" w:cs="仿宋_GB2312"/>
          <w:sz w:val="32"/>
          <w:szCs w:val="32"/>
        </w:rPr>
        <w:t>计量认证处负责统筹推进试点整体工作，加强对各辖区局、计量检定机构的业务指导和检查督促。各辖区局要组织做好日常计量监管、监督抽检及后处理等工作，及时处置计量投诉举报。计量检定机构要强化技术支撑服务，定期形成行业检定分析报告，不断提高抽查的靶向性和精准性。</w:t>
      </w:r>
    </w:p>
    <w:p>
      <w:pPr>
        <w:adjustRightInd w:val="0"/>
        <w:snapToGrid w:val="0"/>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（三）健全长效机制。</w:t>
      </w:r>
      <w:r>
        <w:rPr>
          <w:rFonts w:hint="eastAsia" w:ascii="仿宋_GB2312" w:hAnsi="仿宋_GB2312" w:eastAsia="仿宋_GB2312" w:cs="仿宋_GB2312"/>
          <w:sz w:val="32"/>
          <w:szCs w:val="32"/>
        </w:rPr>
        <w:t>不断完善计量信用评价标准和规则，推动建立以信用为基础的诚信计量监督体系。发挥行业协（学）会作用，共同督促行业自律，提高监管效能。</w:t>
      </w:r>
    </w:p>
    <w:p>
      <w:pPr>
        <w:adjustRightInd w:val="0"/>
        <w:snapToGrid w:val="0"/>
        <w:spacing w:line="56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（四）加强宣传引导。</w:t>
      </w:r>
      <w:r>
        <w:rPr>
          <w:rFonts w:hint="eastAsia" w:ascii="仿宋_GB2312" w:hAnsi="仿宋_GB2312" w:eastAsia="仿宋_GB2312" w:cs="仿宋_GB2312"/>
          <w:sz w:val="32"/>
          <w:szCs w:val="32"/>
        </w:rPr>
        <w:t>充分利用各类媒体全方位宣传计量工作，加强诚信计量宣传。坚持监管与服务并重，鼓励企业提升计量工作水平，引导行业健康发展。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1"/>
      </w:rPr>
      <w:id w:val="1137995156"/>
    </w:sdtPr>
    <w:sdtEndPr>
      <w:rPr>
        <w:rFonts w:hint="eastAsia" w:ascii="仿宋_GB2312" w:eastAsia="仿宋_GB2312"/>
        <w:sz w:val="21"/>
      </w:rPr>
    </w:sdtEndPr>
    <w:sdtContent>
      <w:p>
        <w:pPr>
          <w:pStyle w:val="5"/>
          <w:jc w:val="center"/>
          <w:rPr>
            <w:rFonts w:ascii="仿宋_GB2312" w:eastAsia="仿宋_GB2312"/>
            <w:sz w:val="21"/>
          </w:rPr>
        </w:pPr>
        <w:r>
          <w:rPr>
            <w:rFonts w:hint="eastAsia" w:ascii="仿宋_GB2312" w:eastAsia="仿宋_GB2312"/>
            <w:sz w:val="21"/>
          </w:rPr>
          <w:fldChar w:fldCharType="begin"/>
        </w:r>
        <w:r>
          <w:rPr>
            <w:rFonts w:hint="eastAsia" w:ascii="仿宋_GB2312" w:eastAsia="仿宋_GB2312"/>
            <w:sz w:val="21"/>
          </w:rPr>
          <w:instrText xml:space="preserve">PAGE   \* MERGEFORMAT</w:instrText>
        </w:r>
        <w:r>
          <w:rPr>
            <w:rFonts w:hint="eastAsia" w:ascii="仿宋_GB2312" w:eastAsia="仿宋_GB2312"/>
            <w:sz w:val="21"/>
          </w:rPr>
          <w:fldChar w:fldCharType="separate"/>
        </w:r>
        <w:r>
          <w:rPr>
            <w:rFonts w:ascii="仿宋_GB2312" w:eastAsia="仿宋_GB2312"/>
            <w:sz w:val="21"/>
            <w:lang w:val="zh-CN"/>
          </w:rPr>
          <w:t>5</w:t>
        </w:r>
        <w:r>
          <w:rPr>
            <w:rFonts w:hint="eastAsia" w:ascii="仿宋_GB2312" w:eastAsia="仿宋_GB2312"/>
            <w:sz w:val="21"/>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A585E"/>
    <w:multiLevelType w:val="multilevel"/>
    <w:tmpl w:val="212A585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55DE29F0"/>
    <w:multiLevelType w:val="multilevel"/>
    <w:tmpl w:val="55DE29F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29E"/>
    <w:rsid w:val="00021989"/>
    <w:rsid w:val="00021D4C"/>
    <w:rsid w:val="00030324"/>
    <w:rsid w:val="00046B43"/>
    <w:rsid w:val="00055143"/>
    <w:rsid w:val="0005620A"/>
    <w:rsid w:val="00066D59"/>
    <w:rsid w:val="0007605C"/>
    <w:rsid w:val="000765DD"/>
    <w:rsid w:val="00077C43"/>
    <w:rsid w:val="000933D9"/>
    <w:rsid w:val="00097D90"/>
    <w:rsid w:val="000A3AC0"/>
    <w:rsid w:val="000A7D47"/>
    <w:rsid w:val="000B089D"/>
    <w:rsid w:val="000B1EC8"/>
    <w:rsid w:val="000B4370"/>
    <w:rsid w:val="000B68F1"/>
    <w:rsid w:val="000C00B2"/>
    <w:rsid w:val="000C02A0"/>
    <w:rsid w:val="000D1107"/>
    <w:rsid w:val="000D3AFB"/>
    <w:rsid w:val="000D7AAE"/>
    <w:rsid w:val="000E02EA"/>
    <w:rsid w:val="000E0DF5"/>
    <w:rsid w:val="000E3E4F"/>
    <w:rsid w:val="000E6DB9"/>
    <w:rsid w:val="000F7A3A"/>
    <w:rsid w:val="001013D3"/>
    <w:rsid w:val="00103CA7"/>
    <w:rsid w:val="001150AA"/>
    <w:rsid w:val="0013233F"/>
    <w:rsid w:val="00137800"/>
    <w:rsid w:val="00140046"/>
    <w:rsid w:val="001437B4"/>
    <w:rsid w:val="00145EB7"/>
    <w:rsid w:val="001512CE"/>
    <w:rsid w:val="00151361"/>
    <w:rsid w:val="001614A9"/>
    <w:rsid w:val="00162A6D"/>
    <w:rsid w:val="00164A3E"/>
    <w:rsid w:val="00172A27"/>
    <w:rsid w:val="00175B0A"/>
    <w:rsid w:val="001801F2"/>
    <w:rsid w:val="001A5610"/>
    <w:rsid w:val="001B6E17"/>
    <w:rsid w:val="001C0068"/>
    <w:rsid w:val="001E0BB0"/>
    <w:rsid w:val="001E22CE"/>
    <w:rsid w:val="001E36FA"/>
    <w:rsid w:val="001E5E10"/>
    <w:rsid w:val="001F33BB"/>
    <w:rsid w:val="001F71FB"/>
    <w:rsid w:val="0020773A"/>
    <w:rsid w:val="00211C4B"/>
    <w:rsid w:val="0021336F"/>
    <w:rsid w:val="00227717"/>
    <w:rsid w:val="002303A8"/>
    <w:rsid w:val="00241634"/>
    <w:rsid w:val="00245F8F"/>
    <w:rsid w:val="0024740C"/>
    <w:rsid w:val="00251DC9"/>
    <w:rsid w:val="00265BD0"/>
    <w:rsid w:val="002717B3"/>
    <w:rsid w:val="00281DF8"/>
    <w:rsid w:val="002856A3"/>
    <w:rsid w:val="0029259C"/>
    <w:rsid w:val="00293953"/>
    <w:rsid w:val="002A5E2A"/>
    <w:rsid w:val="002A619A"/>
    <w:rsid w:val="002B5B65"/>
    <w:rsid w:val="002C3ED2"/>
    <w:rsid w:val="002C5082"/>
    <w:rsid w:val="002D5B80"/>
    <w:rsid w:val="002D7AE9"/>
    <w:rsid w:val="002E23B5"/>
    <w:rsid w:val="002F2C01"/>
    <w:rsid w:val="002F31BC"/>
    <w:rsid w:val="0030111F"/>
    <w:rsid w:val="00303A0C"/>
    <w:rsid w:val="00305218"/>
    <w:rsid w:val="00307BE9"/>
    <w:rsid w:val="003133B3"/>
    <w:rsid w:val="00320BF9"/>
    <w:rsid w:val="00321E3B"/>
    <w:rsid w:val="0032271A"/>
    <w:rsid w:val="003314DE"/>
    <w:rsid w:val="00332E60"/>
    <w:rsid w:val="00336730"/>
    <w:rsid w:val="0034132B"/>
    <w:rsid w:val="003472BC"/>
    <w:rsid w:val="00355509"/>
    <w:rsid w:val="00356E89"/>
    <w:rsid w:val="00357966"/>
    <w:rsid w:val="00371EBC"/>
    <w:rsid w:val="00376009"/>
    <w:rsid w:val="00377B7D"/>
    <w:rsid w:val="00381E45"/>
    <w:rsid w:val="00381EC6"/>
    <w:rsid w:val="003840B1"/>
    <w:rsid w:val="003A0F5D"/>
    <w:rsid w:val="003A1A90"/>
    <w:rsid w:val="003A5711"/>
    <w:rsid w:val="003C5141"/>
    <w:rsid w:val="003E248A"/>
    <w:rsid w:val="003F3039"/>
    <w:rsid w:val="003F6867"/>
    <w:rsid w:val="00400763"/>
    <w:rsid w:val="00404048"/>
    <w:rsid w:val="0042791A"/>
    <w:rsid w:val="00433B95"/>
    <w:rsid w:val="00435ADE"/>
    <w:rsid w:val="0043661F"/>
    <w:rsid w:val="00441D47"/>
    <w:rsid w:val="0044313D"/>
    <w:rsid w:val="0044391F"/>
    <w:rsid w:val="0044486F"/>
    <w:rsid w:val="0044557E"/>
    <w:rsid w:val="004464AF"/>
    <w:rsid w:val="00446AA1"/>
    <w:rsid w:val="004476EA"/>
    <w:rsid w:val="00453A42"/>
    <w:rsid w:val="004541BA"/>
    <w:rsid w:val="00461A1A"/>
    <w:rsid w:val="00464B70"/>
    <w:rsid w:val="00466336"/>
    <w:rsid w:val="004707B5"/>
    <w:rsid w:val="00471C9F"/>
    <w:rsid w:val="00472157"/>
    <w:rsid w:val="00472167"/>
    <w:rsid w:val="00483A46"/>
    <w:rsid w:val="00485746"/>
    <w:rsid w:val="00494B3C"/>
    <w:rsid w:val="00495866"/>
    <w:rsid w:val="004B4474"/>
    <w:rsid w:val="004C0AC5"/>
    <w:rsid w:val="004C2B42"/>
    <w:rsid w:val="004C2FAE"/>
    <w:rsid w:val="004C4F75"/>
    <w:rsid w:val="004D2590"/>
    <w:rsid w:val="004D4733"/>
    <w:rsid w:val="004E3B77"/>
    <w:rsid w:val="004E4C93"/>
    <w:rsid w:val="004F39B6"/>
    <w:rsid w:val="004F5F67"/>
    <w:rsid w:val="004F666A"/>
    <w:rsid w:val="00504738"/>
    <w:rsid w:val="00507906"/>
    <w:rsid w:val="00523BA5"/>
    <w:rsid w:val="0052597A"/>
    <w:rsid w:val="005261E0"/>
    <w:rsid w:val="00530D26"/>
    <w:rsid w:val="00536977"/>
    <w:rsid w:val="00544F9E"/>
    <w:rsid w:val="00550F09"/>
    <w:rsid w:val="00551584"/>
    <w:rsid w:val="005515DE"/>
    <w:rsid w:val="00555215"/>
    <w:rsid w:val="00556742"/>
    <w:rsid w:val="005638DD"/>
    <w:rsid w:val="00567C7A"/>
    <w:rsid w:val="00575249"/>
    <w:rsid w:val="00586035"/>
    <w:rsid w:val="00595F83"/>
    <w:rsid w:val="005A23E5"/>
    <w:rsid w:val="005A6765"/>
    <w:rsid w:val="005A6F1D"/>
    <w:rsid w:val="005A7B11"/>
    <w:rsid w:val="005B06F1"/>
    <w:rsid w:val="005C3786"/>
    <w:rsid w:val="005C522E"/>
    <w:rsid w:val="005C6CB5"/>
    <w:rsid w:val="005C71E9"/>
    <w:rsid w:val="005E48E9"/>
    <w:rsid w:val="005E4A84"/>
    <w:rsid w:val="005E4E1D"/>
    <w:rsid w:val="005E79A6"/>
    <w:rsid w:val="005F04BA"/>
    <w:rsid w:val="005F7E25"/>
    <w:rsid w:val="00601CC2"/>
    <w:rsid w:val="0060221D"/>
    <w:rsid w:val="00602C08"/>
    <w:rsid w:val="00610876"/>
    <w:rsid w:val="006125DB"/>
    <w:rsid w:val="00614E20"/>
    <w:rsid w:val="006275EB"/>
    <w:rsid w:val="00630EEB"/>
    <w:rsid w:val="00635E4D"/>
    <w:rsid w:val="0063610A"/>
    <w:rsid w:val="00643EAB"/>
    <w:rsid w:val="006442B9"/>
    <w:rsid w:val="00647B72"/>
    <w:rsid w:val="00647F29"/>
    <w:rsid w:val="006509A2"/>
    <w:rsid w:val="0065102D"/>
    <w:rsid w:val="006550BA"/>
    <w:rsid w:val="006609C6"/>
    <w:rsid w:val="00661699"/>
    <w:rsid w:val="006629EC"/>
    <w:rsid w:val="006647E5"/>
    <w:rsid w:val="00670796"/>
    <w:rsid w:val="00673001"/>
    <w:rsid w:val="006743F5"/>
    <w:rsid w:val="00675379"/>
    <w:rsid w:val="006759AA"/>
    <w:rsid w:val="00677C7B"/>
    <w:rsid w:val="00682A38"/>
    <w:rsid w:val="00691D5E"/>
    <w:rsid w:val="00693DF3"/>
    <w:rsid w:val="00695D2E"/>
    <w:rsid w:val="00696485"/>
    <w:rsid w:val="006973E0"/>
    <w:rsid w:val="006B0569"/>
    <w:rsid w:val="006B3314"/>
    <w:rsid w:val="006B3C53"/>
    <w:rsid w:val="006B6C64"/>
    <w:rsid w:val="006B6F28"/>
    <w:rsid w:val="006B73B0"/>
    <w:rsid w:val="006C79A6"/>
    <w:rsid w:val="006C7EB6"/>
    <w:rsid w:val="006D54A6"/>
    <w:rsid w:val="006D683E"/>
    <w:rsid w:val="006E2946"/>
    <w:rsid w:val="006F630D"/>
    <w:rsid w:val="00702AF4"/>
    <w:rsid w:val="007044C4"/>
    <w:rsid w:val="007151EF"/>
    <w:rsid w:val="00716A4C"/>
    <w:rsid w:val="00720F56"/>
    <w:rsid w:val="00723512"/>
    <w:rsid w:val="00727482"/>
    <w:rsid w:val="007275F1"/>
    <w:rsid w:val="00732747"/>
    <w:rsid w:val="0075327A"/>
    <w:rsid w:val="007540F5"/>
    <w:rsid w:val="00762F49"/>
    <w:rsid w:val="0076440D"/>
    <w:rsid w:val="00780656"/>
    <w:rsid w:val="007908AC"/>
    <w:rsid w:val="00795977"/>
    <w:rsid w:val="007A3621"/>
    <w:rsid w:val="007A6044"/>
    <w:rsid w:val="007C2021"/>
    <w:rsid w:val="007D1DF9"/>
    <w:rsid w:val="007D59F7"/>
    <w:rsid w:val="007E0450"/>
    <w:rsid w:val="007E1DFA"/>
    <w:rsid w:val="007E413E"/>
    <w:rsid w:val="007E4340"/>
    <w:rsid w:val="007E67D6"/>
    <w:rsid w:val="007F1D37"/>
    <w:rsid w:val="007F4F98"/>
    <w:rsid w:val="007F703D"/>
    <w:rsid w:val="008019C3"/>
    <w:rsid w:val="008030AF"/>
    <w:rsid w:val="00803139"/>
    <w:rsid w:val="008054DA"/>
    <w:rsid w:val="008058D5"/>
    <w:rsid w:val="00806AA7"/>
    <w:rsid w:val="00806B84"/>
    <w:rsid w:val="0082181F"/>
    <w:rsid w:val="00824B04"/>
    <w:rsid w:val="0083266D"/>
    <w:rsid w:val="008327FC"/>
    <w:rsid w:val="008345A0"/>
    <w:rsid w:val="00837066"/>
    <w:rsid w:val="008374EF"/>
    <w:rsid w:val="00847724"/>
    <w:rsid w:val="00856FE7"/>
    <w:rsid w:val="00860D8E"/>
    <w:rsid w:val="00864B7F"/>
    <w:rsid w:val="00864BC9"/>
    <w:rsid w:val="0086678B"/>
    <w:rsid w:val="00866C20"/>
    <w:rsid w:val="0087037C"/>
    <w:rsid w:val="008772D9"/>
    <w:rsid w:val="00881A05"/>
    <w:rsid w:val="00882EB2"/>
    <w:rsid w:val="0089357A"/>
    <w:rsid w:val="0089381F"/>
    <w:rsid w:val="00896C30"/>
    <w:rsid w:val="008A3501"/>
    <w:rsid w:val="008B1B2B"/>
    <w:rsid w:val="008B51C4"/>
    <w:rsid w:val="008C2E9A"/>
    <w:rsid w:val="008C33EF"/>
    <w:rsid w:val="008C435A"/>
    <w:rsid w:val="008D27D9"/>
    <w:rsid w:val="008E6900"/>
    <w:rsid w:val="008F0E9D"/>
    <w:rsid w:val="00903E8A"/>
    <w:rsid w:val="00911C59"/>
    <w:rsid w:val="009133CE"/>
    <w:rsid w:val="00917260"/>
    <w:rsid w:val="00923501"/>
    <w:rsid w:val="00930650"/>
    <w:rsid w:val="009329EF"/>
    <w:rsid w:val="00932CE8"/>
    <w:rsid w:val="0093605A"/>
    <w:rsid w:val="0094338D"/>
    <w:rsid w:val="00946BAE"/>
    <w:rsid w:val="0095023A"/>
    <w:rsid w:val="009505A7"/>
    <w:rsid w:val="009608C0"/>
    <w:rsid w:val="0096141C"/>
    <w:rsid w:val="00967991"/>
    <w:rsid w:val="00967BFE"/>
    <w:rsid w:val="00982F8E"/>
    <w:rsid w:val="00992C88"/>
    <w:rsid w:val="009963BB"/>
    <w:rsid w:val="009B64DA"/>
    <w:rsid w:val="009C1307"/>
    <w:rsid w:val="009C1403"/>
    <w:rsid w:val="009C3FD5"/>
    <w:rsid w:val="009C527C"/>
    <w:rsid w:val="009C6816"/>
    <w:rsid w:val="009D58EA"/>
    <w:rsid w:val="009E3D5F"/>
    <w:rsid w:val="009E79B1"/>
    <w:rsid w:val="009F388C"/>
    <w:rsid w:val="00A00317"/>
    <w:rsid w:val="00A107CC"/>
    <w:rsid w:val="00A107FC"/>
    <w:rsid w:val="00A10E2D"/>
    <w:rsid w:val="00A116A9"/>
    <w:rsid w:val="00A21063"/>
    <w:rsid w:val="00A3757E"/>
    <w:rsid w:val="00A41358"/>
    <w:rsid w:val="00A43A1A"/>
    <w:rsid w:val="00A533A4"/>
    <w:rsid w:val="00A57490"/>
    <w:rsid w:val="00A678EC"/>
    <w:rsid w:val="00A70D29"/>
    <w:rsid w:val="00A70DF7"/>
    <w:rsid w:val="00A723D2"/>
    <w:rsid w:val="00A76230"/>
    <w:rsid w:val="00A771D2"/>
    <w:rsid w:val="00A804C5"/>
    <w:rsid w:val="00AA6F4A"/>
    <w:rsid w:val="00AA7224"/>
    <w:rsid w:val="00AC0FB8"/>
    <w:rsid w:val="00AC1872"/>
    <w:rsid w:val="00AC211D"/>
    <w:rsid w:val="00AC647D"/>
    <w:rsid w:val="00AC6FB1"/>
    <w:rsid w:val="00AC6FFF"/>
    <w:rsid w:val="00AD32AF"/>
    <w:rsid w:val="00AD6AAC"/>
    <w:rsid w:val="00AE2146"/>
    <w:rsid w:val="00AE3479"/>
    <w:rsid w:val="00AE4135"/>
    <w:rsid w:val="00AE5A2C"/>
    <w:rsid w:val="00AE7400"/>
    <w:rsid w:val="00AF0F4C"/>
    <w:rsid w:val="00AF4CD5"/>
    <w:rsid w:val="00AF768E"/>
    <w:rsid w:val="00AF78DE"/>
    <w:rsid w:val="00B02A6F"/>
    <w:rsid w:val="00B06795"/>
    <w:rsid w:val="00B23300"/>
    <w:rsid w:val="00B251B5"/>
    <w:rsid w:val="00B26C2A"/>
    <w:rsid w:val="00B30244"/>
    <w:rsid w:val="00B333DB"/>
    <w:rsid w:val="00B346E2"/>
    <w:rsid w:val="00B41F38"/>
    <w:rsid w:val="00B4233B"/>
    <w:rsid w:val="00B43BA1"/>
    <w:rsid w:val="00B450BE"/>
    <w:rsid w:val="00B46122"/>
    <w:rsid w:val="00B46F92"/>
    <w:rsid w:val="00B667D0"/>
    <w:rsid w:val="00B82FD2"/>
    <w:rsid w:val="00B83C5B"/>
    <w:rsid w:val="00B862FA"/>
    <w:rsid w:val="00B94327"/>
    <w:rsid w:val="00BA40AD"/>
    <w:rsid w:val="00BA48B9"/>
    <w:rsid w:val="00BB7193"/>
    <w:rsid w:val="00BC139E"/>
    <w:rsid w:val="00BC36D3"/>
    <w:rsid w:val="00BD05E6"/>
    <w:rsid w:val="00BD0FC3"/>
    <w:rsid w:val="00BD661C"/>
    <w:rsid w:val="00BE3E3E"/>
    <w:rsid w:val="00BF162F"/>
    <w:rsid w:val="00BF1CB5"/>
    <w:rsid w:val="00BF7B2E"/>
    <w:rsid w:val="00C0040B"/>
    <w:rsid w:val="00C009D4"/>
    <w:rsid w:val="00C25035"/>
    <w:rsid w:val="00C26A59"/>
    <w:rsid w:val="00C3297C"/>
    <w:rsid w:val="00C3393C"/>
    <w:rsid w:val="00C47BEE"/>
    <w:rsid w:val="00C534E5"/>
    <w:rsid w:val="00C5585B"/>
    <w:rsid w:val="00C62062"/>
    <w:rsid w:val="00C62117"/>
    <w:rsid w:val="00C63165"/>
    <w:rsid w:val="00C65480"/>
    <w:rsid w:val="00C67B75"/>
    <w:rsid w:val="00C76F3C"/>
    <w:rsid w:val="00C8068D"/>
    <w:rsid w:val="00C80C29"/>
    <w:rsid w:val="00C9168D"/>
    <w:rsid w:val="00CA04C3"/>
    <w:rsid w:val="00CA71CD"/>
    <w:rsid w:val="00CB3A71"/>
    <w:rsid w:val="00CB472F"/>
    <w:rsid w:val="00CB52D7"/>
    <w:rsid w:val="00CC43ED"/>
    <w:rsid w:val="00CC5789"/>
    <w:rsid w:val="00CC662B"/>
    <w:rsid w:val="00CD083E"/>
    <w:rsid w:val="00CE544B"/>
    <w:rsid w:val="00CE5774"/>
    <w:rsid w:val="00CE5950"/>
    <w:rsid w:val="00CF0D78"/>
    <w:rsid w:val="00CF2E1C"/>
    <w:rsid w:val="00CF4DF4"/>
    <w:rsid w:val="00CF60D9"/>
    <w:rsid w:val="00D1124D"/>
    <w:rsid w:val="00D1307F"/>
    <w:rsid w:val="00D24156"/>
    <w:rsid w:val="00D244B7"/>
    <w:rsid w:val="00D279D4"/>
    <w:rsid w:val="00D40F6F"/>
    <w:rsid w:val="00D45ACA"/>
    <w:rsid w:val="00D475D5"/>
    <w:rsid w:val="00D5263A"/>
    <w:rsid w:val="00D55268"/>
    <w:rsid w:val="00D62100"/>
    <w:rsid w:val="00D63E02"/>
    <w:rsid w:val="00D66341"/>
    <w:rsid w:val="00D66729"/>
    <w:rsid w:val="00D671B3"/>
    <w:rsid w:val="00D845BD"/>
    <w:rsid w:val="00D94759"/>
    <w:rsid w:val="00D97AF6"/>
    <w:rsid w:val="00DA11C0"/>
    <w:rsid w:val="00DA6334"/>
    <w:rsid w:val="00DC36BA"/>
    <w:rsid w:val="00DD0F30"/>
    <w:rsid w:val="00DD7C26"/>
    <w:rsid w:val="00DF4B43"/>
    <w:rsid w:val="00DF5941"/>
    <w:rsid w:val="00E02D90"/>
    <w:rsid w:val="00E13B96"/>
    <w:rsid w:val="00E17A9E"/>
    <w:rsid w:val="00E17B25"/>
    <w:rsid w:val="00E20B5F"/>
    <w:rsid w:val="00E26CC4"/>
    <w:rsid w:val="00E335CE"/>
    <w:rsid w:val="00E367BB"/>
    <w:rsid w:val="00E37784"/>
    <w:rsid w:val="00E40B4F"/>
    <w:rsid w:val="00E411F8"/>
    <w:rsid w:val="00E42212"/>
    <w:rsid w:val="00E47644"/>
    <w:rsid w:val="00E51878"/>
    <w:rsid w:val="00E5539A"/>
    <w:rsid w:val="00E55825"/>
    <w:rsid w:val="00E55AD7"/>
    <w:rsid w:val="00E64508"/>
    <w:rsid w:val="00E76AE2"/>
    <w:rsid w:val="00E867B3"/>
    <w:rsid w:val="00E9204C"/>
    <w:rsid w:val="00E96505"/>
    <w:rsid w:val="00EA6282"/>
    <w:rsid w:val="00EB03DA"/>
    <w:rsid w:val="00EB6241"/>
    <w:rsid w:val="00EB6DAE"/>
    <w:rsid w:val="00EC584B"/>
    <w:rsid w:val="00EC6FEB"/>
    <w:rsid w:val="00ED6DD8"/>
    <w:rsid w:val="00EE0111"/>
    <w:rsid w:val="00EE0C5D"/>
    <w:rsid w:val="00EE3C09"/>
    <w:rsid w:val="00EE59A0"/>
    <w:rsid w:val="00EE6504"/>
    <w:rsid w:val="00EE7D2A"/>
    <w:rsid w:val="00EF0723"/>
    <w:rsid w:val="00EF300E"/>
    <w:rsid w:val="00EF46AB"/>
    <w:rsid w:val="00EF5CF2"/>
    <w:rsid w:val="00EF672C"/>
    <w:rsid w:val="00EF7040"/>
    <w:rsid w:val="00F1414F"/>
    <w:rsid w:val="00F15B5B"/>
    <w:rsid w:val="00F222DA"/>
    <w:rsid w:val="00F227B5"/>
    <w:rsid w:val="00F262F2"/>
    <w:rsid w:val="00F449DF"/>
    <w:rsid w:val="00F60D3C"/>
    <w:rsid w:val="00F61314"/>
    <w:rsid w:val="00F65AF2"/>
    <w:rsid w:val="00F65D03"/>
    <w:rsid w:val="00F807C3"/>
    <w:rsid w:val="00F82B05"/>
    <w:rsid w:val="00F87E29"/>
    <w:rsid w:val="00F9378A"/>
    <w:rsid w:val="00FA02D9"/>
    <w:rsid w:val="00FC07E1"/>
    <w:rsid w:val="00FD5A69"/>
    <w:rsid w:val="00FE445A"/>
    <w:rsid w:val="00FE51DC"/>
    <w:rsid w:val="00FE526F"/>
    <w:rsid w:val="00FE6ADE"/>
    <w:rsid w:val="014A2CA9"/>
    <w:rsid w:val="01E834CF"/>
    <w:rsid w:val="02726676"/>
    <w:rsid w:val="032B0739"/>
    <w:rsid w:val="03916C8D"/>
    <w:rsid w:val="03CF7C31"/>
    <w:rsid w:val="03E5039F"/>
    <w:rsid w:val="04433DF7"/>
    <w:rsid w:val="04593370"/>
    <w:rsid w:val="04D0488A"/>
    <w:rsid w:val="04F64582"/>
    <w:rsid w:val="052B7008"/>
    <w:rsid w:val="058D24A1"/>
    <w:rsid w:val="07101DF4"/>
    <w:rsid w:val="08CC430B"/>
    <w:rsid w:val="091523BA"/>
    <w:rsid w:val="099B756D"/>
    <w:rsid w:val="0A5F7CF2"/>
    <w:rsid w:val="0A6F304F"/>
    <w:rsid w:val="0AD3149E"/>
    <w:rsid w:val="0B39773E"/>
    <w:rsid w:val="0B57551F"/>
    <w:rsid w:val="0B950707"/>
    <w:rsid w:val="0BDD325C"/>
    <w:rsid w:val="0C486F0A"/>
    <w:rsid w:val="0D055511"/>
    <w:rsid w:val="0D1246AC"/>
    <w:rsid w:val="0D626C0E"/>
    <w:rsid w:val="0D7F67F6"/>
    <w:rsid w:val="0D935C9A"/>
    <w:rsid w:val="0E054896"/>
    <w:rsid w:val="0E317B9E"/>
    <w:rsid w:val="0FA953BC"/>
    <w:rsid w:val="105D702D"/>
    <w:rsid w:val="10653BE4"/>
    <w:rsid w:val="10873AEC"/>
    <w:rsid w:val="108A6C37"/>
    <w:rsid w:val="114834B4"/>
    <w:rsid w:val="118929C7"/>
    <w:rsid w:val="11AD6B75"/>
    <w:rsid w:val="11F83F80"/>
    <w:rsid w:val="12005610"/>
    <w:rsid w:val="12630103"/>
    <w:rsid w:val="133F33F4"/>
    <w:rsid w:val="13FB153F"/>
    <w:rsid w:val="148B5480"/>
    <w:rsid w:val="14B61F5C"/>
    <w:rsid w:val="15244C9B"/>
    <w:rsid w:val="165273AE"/>
    <w:rsid w:val="16C9486A"/>
    <w:rsid w:val="17F70307"/>
    <w:rsid w:val="183E7047"/>
    <w:rsid w:val="19FB0CFC"/>
    <w:rsid w:val="1A2875E3"/>
    <w:rsid w:val="1A7C438C"/>
    <w:rsid w:val="1B296197"/>
    <w:rsid w:val="1C131AC3"/>
    <w:rsid w:val="1C6B3A73"/>
    <w:rsid w:val="1C752FA2"/>
    <w:rsid w:val="1C811803"/>
    <w:rsid w:val="1CEA423F"/>
    <w:rsid w:val="1E3E0919"/>
    <w:rsid w:val="1F635266"/>
    <w:rsid w:val="1F822DAA"/>
    <w:rsid w:val="1FE00EA0"/>
    <w:rsid w:val="1FFF1008"/>
    <w:rsid w:val="206B04BB"/>
    <w:rsid w:val="208A3427"/>
    <w:rsid w:val="20A05CEF"/>
    <w:rsid w:val="20DE2481"/>
    <w:rsid w:val="21993211"/>
    <w:rsid w:val="22682D0A"/>
    <w:rsid w:val="22E23B61"/>
    <w:rsid w:val="23FE3F4A"/>
    <w:rsid w:val="2534614D"/>
    <w:rsid w:val="25C01E54"/>
    <w:rsid w:val="2703778B"/>
    <w:rsid w:val="276C2C08"/>
    <w:rsid w:val="27D72522"/>
    <w:rsid w:val="2A0673DA"/>
    <w:rsid w:val="2AF76B1F"/>
    <w:rsid w:val="2AFA2D52"/>
    <w:rsid w:val="2B371C01"/>
    <w:rsid w:val="2BC24836"/>
    <w:rsid w:val="2BD83C0C"/>
    <w:rsid w:val="2CD95EAD"/>
    <w:rsid w:val="2CEE5951"/>
    <w:rsid w:val="2D780F26"/>
    <w:rsid w:val="2DEC371C"/>
    <w:rsid w:val="2F2A02A7"/>
    <w:rsid w:val="2F6535B5"/>
    <w:rsid w:val="2FE25AB9"/>
    <w:rsid w:val="300223E6"/>
    <w:rsid w:val="30CB3AC3"/>
    <w:rsid w:val="31E240BB"/>
    <w:rsid w:val="320F70BA"/>
    <w:rsid w:val="32C931D5"/>
    <w:rsid w:val="32CC5D21"/>
    <w:rsid w:val="33CD77AD"/>
    <w:rsid w:val="33EF306A"/>
    <w:rsid w:val="34150267"/>
    <w:rsid w:val="344B18F1"/>
    <w:rsid w:val="351C1641"/>
    <w:rsid w:val="354C48C2"/>
    <w:rsid w:val="356767C1"/>
    <w:rsid w:val="361655C6"/>
    <w:rsid w:val="36286C28"/>
    <w:rsid w:val="3722036E"/>
    <w:rsid w:val="37706B7E"/>
    <w:rsid w:val="38492EFB"/>
    <w:rsid w:val="3A7D541A"/>
    <w:rsid w:val="3B8C31EF"/>
    <w:rsid w:val="3C066537"/>
    <w:rsid w:val="3C07729D"/>
    <w:rsid w:val="3C777564"/>
    <w:rsid w:val="3CAF10ED"/>
    <w:rsid w:val="3D044188"/>
    <w:rsid w:val="3D967ED8"/>
    <w:rsid w:val="3DD42329"/>
    <w:rsid w:val="3DEA0232"/>
    <w:rsid w:val="3E5A7C4F"/>
    <w:rsid w:val="3EE362B0"/>
    <w:rsid w:val="3F957186"/>
    <w:rsid w:val="40110BBD"/>
    <w:rsid w:val="409F6B57"/>
    <w:rsid w:val="40E76216"/>
    <w:rsid w:val="41FE2017"/>
    <w:rsid w:val="42722A50"/>
    <w:rsid w:val="428A5176"/>
    <w:rsid w:val="42B37478"/>
    <w:rsid w:val="4320048F"/>
    <w:rsid w:val="437745F3"/>
    <w:rsid w:val="43793314"/>
    <w:rsid w:val="43A73E5B"/>
    <w:rsid w:val="43E64A48"/>
    <w:rsid w:val="46020EAC"/>
    <w:rsid w:val="468A347D"/>
    <w:rsid w:val="478B0865"/>
    <w:rsid w:val="478C3D83"/>
    <w:rsid w:val="47FE643F"/>
    <w:rsid w:val="481E6B35"/>
    <w:rsid w:val="48DB6BFB"/>
    <w:rsid w:val="48DF28F8"/>
    <w:rsid w:val="498D38A6"/>
    <w:rsid w:val="4A016273"/>
    <w:rsid w:val="4A275692"/>
    <w:rsid w:val="4A4A6F98"/>
    <w:rsid w:val="4A7975A3"/>
    <w:rsid w:val="4A8F203C"/>
    <w:rsid w:val="4A9D1F28"/>
    <w:rsid w:val="4ACF7F99"/>
    <w:rsid w:val="4B1F212F"/>
    <w:rsid w:val="4B394FC4"/>
    <w:rsid w:val="4B555EC6"/>
    <w:rsid w:val="4B5F27A7"/>
    <w:rsid w:val="4BC5406C"/>
    <w:rsid w:val="4BDA61F2"/>
    <w:rsid w:val="4BF32A66"/>
    <w:rsid w:val="4C570E6D"/>
    <w:rsid w:val="4CCD3425"/>
    <w:rsid w:val="4D7D7A86"/>
    <w:rsid w:val="4DA36F7F"/>
    <w:rsid w:val="4DAE4959"/>
    <w:rsid w:val="4F752374"/>
    <w:rsid w:val="503F29CA"/>
    <w:rsid w:val="50576439"/>
    <w:rsid w:val="507B5084"/>
    <w:rsid w:val="50987112"/>
    <w:rsid w:val="512D57AF"/>
    <w:rsid w:val="51445769"/>
    <w:rsid w:val="518A074B"/>
    <w:rsid w:val="52EA07B6"/>
    <w:rsid w:val="530F412B"/>
    <w:rsid w:val="54430C92"/>
    <w:rsid w:val="54570393"/>
    <w:rsid w:val="54B224F0"/>
    <w:rsid w:val="54C2167D"/>
    <w:rsid w:val="55C45C3C"/>
    <w:rsid w:val="56115222"/>
    <w:rsid w:val="56504171"/>
    <w:rsid w:val="565C4F4D"/>
    <w:rsid w:val="56DA4263"/>
    <w:rsid w:val="57967BE7"/>
    <w:rsid w:val="57BC4A42"/>
    <w:rsid w:val="582B7627"/>
    <w:rsid w:val="59F71462"/>
    <w:rsid w:val="5A401058"/>
    <w:rsid w:val="5A417149"/>
    <w:rsid w:val="5B37753B"/>
    <w:rsid w:val="5BC32714"/>
    <w:rsid w:val="5C68500F"/>
    <w:rsid w:val="5C871D8A"/>
    <w:rsid w:val="5D674D39"/>
    <w:rsid w:val="5E2C0A66"/>
    <w:rsid w:val="5E741AF3"/>
    <w:rsid w:val="5E7A05CE"/>
    <w:rsid w:val="5FBC2ED6"/>
    <w:rsid w:val="5FDF4617"/>
    <w:rsid w:val="6013560E"/>
    <w:rsid w:val="6043674B"/>
    <w:rsid w:val="604C2DC1"/>
    <w:rsid w:val="60820C83"/>
    <w:rsid w:val="609B2EED"/>
    <w:rsid w:val="60E9216B"/>
    <w:rsid w:val="61A500A8"/>
    <w:rsid w:val="61E931C3"/>
    <w:rsid w:val="61F7553C"/>
    <w:rsid w:val="63EC59F9"/>
    <w:rsid w:val="645F0309"/>
    <w:rsid w:val="6486533B"/>
    <w:rsid w:val="6532795F"/>
    <w:rsid w:val="666E7A98"/>
    <w:rsid w:val="66DF26CB"/>
    <w:rsid w:val="67370B20"/>
    <w:rsid w:val="67FD0E04"/>
    <w:rsid w:val="68704502"/>
    <w:rsid w:val="68CC66F7"/>
    <w:rsid w:val="68DF141D"/>
    <w:rsid w:val="69350243"/>
    <w:rsid w:val="694E5F83"/>
    <w:rsid w:val="694F045F"/>
    <w:rsid w:val="698C683D"/>
    <w:rsid w:val="69AA6238"/>
    <w:rsid w:val="69B33E7A"/>
    <w:rsid w:val="69BE2D61"/>
    <w:rsid w:val="6A5E1539"/>
    <w:rsid w:val="6A9F1105"/>
    <w:rsid w:val="6B236267"/>
    <w:rsid w:val="6B6B1B5D"/>
    <w:rsid w:val="6B8D59F0"/>
    <w:rsid w:val="6C137F32"/>
    <w:rsid w:val="6C690ED1"/>
    <w:rsid w:val="6DFA3882"/>
    <w:rsid w:val="6E0C612B"/>
    <w:rsid w:val="6E1873D2"/>
    <w:rsid w:val="6E99094C"/>
    <w:rsid w:val="6EAF3323"/>
    <w:rsid w:val="6EF14AB2"/>
    <w:rsid w:val="6F7A549E"/>
    <w:rsid w:val="6F842741"/>
    <w:rsid w:val="6F87187B"/>
    <w:rsid w:val="7009089B"/>
    <w:rsid w:val="709D7CCD"/>
    <w:rsid w:val="714F7B8B"/>
    <w:rsid w:val="71552982"/>
    <w:rsid w:val="71657123"/>
    <w:rsid w:val="722E783C"/>
    <w:rsid w:val="729D269E"/>
    <w:rsid w:val="72B67BD1"/>
    <w:rsid w:val="737615E8"/>
    <w:rsid w:val="737B557F"/>
    <w:rsid w:val="74401818"/>
    <w:rsid w:val="746F3DDD"/>
    <w:rsid w:val="747857CE"/>
    <w:rsid w:val="757C2AC4"/>
    <w:rsid w:val="75ED0EC3"/>
    <w:rsid w:val="76222799"/>
    <w:rsid w:val="763C5354"/>
    <w:rsid w:val="773C5C50"/>
    <w:rsid w:val="77655DD1"/>
    <w:rsid w:val="77A53EA4"/>
    <w:rsid w:val="781A27BA"/>
    <w:rsid w:val="78841AC7"/>
    <w:rsid w:val="78A12DFA"/>
    <w:rsid w:val="793C727F"/>
    <w:rsid w:val="798C68D9"/>
    <w:rsid w:val="7A0B4B19"/>
    <w:rsid w:val="7A1D1399"/>
    <w:rsid w:val="7B511095"/>
    <w:rsid w:val="7B5531CC"/>
    <w:rsid w:val="7BDC7A72"/>
    <w:rsid w:val="7C0C35C7"/>
    <w:rsid w:val="7C256DF3"/>
    <w:rsid w:val="7DBC125F"/>
    <w:rsid w:val="7E101DDB"/>
    <w:rsid w:val="7E901819"/>
    <w:rsid w:val="7EDF645B"/>
    <w:rsid w:val="7F3F0F19"/>
    <w:rsid w:val="7FBC1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37"/>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jc w:val="left"/>
    </w:pPr>
    <w:rPr>
      <w:rFonts w:cs="Times New Roman"/>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2B84B5"/>
    </w:rPr>
  </w:style>
  <w:style w:type="character" w:styleId="12">
    <w:name w:val="Emphasis"/>
    <w:basedOn w:val="9"/>
    <w:qFormat/>
    <w:uiPriority w:val="20"/>
  </w:style>
  <w:style w:type="character" w:styleId="13">
    <w:name w:val="HTML Definition"/>
    <w:basedOn w:val="9"/>
    <w:semiHidden/>
    <w:unhideWhenUsed/>
    <w:qFormat/>
    <w:uiPriority w:val="99"/>
    <w:rPr>
      <w:color w:val="0C0300"/>
      <w:spacing w:val="30"/>
      <w:shd w:val="clear" w:color="auto" w:fill="EFEFEF"/>
    </w:rPr>
  </w:style>
  <w:style w:type="character" w:styleId="14">
    <w:name w:val="HTML Variable"/>
    <w:basedOn w:val="9"/>
    <w:semiHidden/>
    <w:unhideWhenUsed/>
    <w:qFormat/>
    <w:uiPriority w:val="99"/>
  </w:style>
  <w:style w:type="character" w:styleId="15">
    <w:name w:val="Hyperlink"/>
    <w:basedOn w:val="9"/>
    <w:semiHidden/>
    <w:unhideWhenUsed/>
    <w:qFormat/>
    <w:uiPriority w:val="99"/>
    <w:rPr>
      <w:rFonts w:hint="eastAsia" w:ascii="微软雅黑" w:hAnsi="微软雅黑" w:eastAsia="微软雅黑" w:cs="微软雅黑"/>
      <w:color w:val="0000FF"/>
      <w:u w:val="none"/>
    </w:rPr>
  </w:style>
  <w:style w:type="character" w:styleId="16">
    <w:name w:val="HTML Code"/>
    <w:basedOn w:val="9"/>
    <w:semiHidden/>
    <w:unhideWhenUsed/>
    <w:qFormat/>
    <w:uiPriority w:val="99"/>
    <w:rPr>
      <w:rFonts w:ascii="Courier New" w:hAnsi="Courier New"/>
      <w:sz w:val="20"/>
    </w:rPr>
  </w:style>
  <w:style w:type="character" w:styleId="17">
    <w:name w:val="HTML Cite"/>
    <w:basedOn w:val="9"/>
    <w:semiHidden/>
    <w:unhideWhenUsed/>
    <w:qFormat/>
    <w:uiPriority w:val="99"/>
  </w:style>
  <w:style w:type="character" w:customStyle="1" w:styleId="18">
    <w:name w:val="标题 1 Char"/>
    <w:basedOn w:val="9"/>
    <w:link w:val="2"/>
    <w:qFormat/>
    <w:uiPriority w:val="9"/>
    <w:rPr>
      <w:rFonts w:ascii="宋体" w:hAnsi="宋体" w:eastAsia="宋体" w:cs="宋体"/>
      <w:b/>
      <w:bCs/>
      <w:kern w:val="36"/>
      <w:sz w:val="48"/>
      <w:szCs w:val="48"/>
    </w:rPr>
  </w:style>
  <w:style w:type="character" w:customStyle="1" w:styleId="19">
    <w:name w:val="页眉 Char"/>
    <w:basedOn w:val="9"/>
    <w:link w:val="6"/>
    <w:qFormat/>
    <w:uiPriority w:val="99"/>
    <w:rPr>
      <w:sz w:val="18"/>
      <w:szCs w:val="18"/>
    </w:rPr>
  </w:style>
  <w:style w:type="character" w:customStyle="1" w:styleId="20">
    <w:name w:val="页脚 Char"/>
    <w:basedOn w:val="9"/>
    <w:link w:val="5"/>
    <w:qFormat/>
    <w:uiPriority w:val="99"/>
    <w:rPr>
      <w:sz w:val="18"/>
      <w:szCs w:val="18"/>
    </w:rPr>
  </w:style>
  <w:style w:type="paragraph" w:customStyle="1" w:styleId="21">
    <w:name w:val="正文1"/>
    <w:qFormat/>
    <w:uiPriority w:val="0"/>
    <w:pPr>
      <w:jc w:val="both"/>
    </w:pPr>
    <w:rPr>
      <w:rFonts w:ascii="Calibri" w:hAnsi="Calibri" w:eastAsia="宋体" w:cs="宋体"/>
      <w:kern w:val="2"/>
      <w:sz w:val="21"/>
      <w:szCs w:val="21"/>
      <w:lang w:val="en-US" w:eastAsia="zh-CN" w:bidi="ar-SA"/>
    </w:rPr>
  </w:style>
  <w:style w:type="paragraph" w:styleId="22">
    <w:name w:val="List Paragraph"/>
    <w:basedOn w:val="1"/>
    <w:qFormat/>
    <w:uiPriority w:val="99"/>
    <w:pPr>
      <w:ind w:firstLine="420" w:firstLineChars="200"/>
    </w:pPr>
  </w:style>
  <w:style w:type="character" w:customStyle="1" w:styleId="23">
    <w:name w:val="place"/>
    <w:basedOn w:val="9"/>
    <w:qFormat/>
    <w:uiPriority w:val="0"/>
  </w:style>
  <w:style w:type="character" w:customStyle="1" w:styleId="24">
    <w:name w:val="place1"/>
    <w:basedOn w:val="9"/>
    <w:qFormat/>
    <w:uiPriority w:val="0"/>
    <w:rPr>
      <w:rFonts w:ascii="微软雅黑" w:hAnsi="微软雅黑" w:eastAsia="微软雅黑" w:cs="微软雅黑"/>
      <w:color w:val="888888"/>
      <w:sz w:val="25"/>
      <w:szCs w:val="25"/>
    </w:rPr>
  </w:style>
  <w:style w:type="character" w:customStyle="1" w:styleId="25">
    <w:name w:val="place2"/>
    <w:basedOn w:val="9"/>
    <w:qFormat/>
    <w:uiPriority w:val="0"/>
  </w:style>
  <w:style w:type="character" w:customStyle="1" w:styleId="26">
    <w:name w:val="place3"/>
    <w:basedOn w:val="9"/>
    <w:qFormat/>
    <w:uiPriority w:val="0"/>
  </w:style>
  <w:style w:type="character" w:customStyle="1" w:styleId="27">
    <w:name w:val="noline"/>
    <w:basedOn w:val="9"/>
    <w:qFormat/>
    <w:uiPriority w:val="0"/>
  </w:style>
  <w:style w:type="character" w:customStyle="1" w:styleId="28">
    <w:name w:val="folder"/>
    <w:basedOn w:val="9"/>
    <w:qFormat/>
    <w:uiPriority w:val="0"/>
    <w:rPr>
      <w:color w:val="4D4D4D"/>
      <w:sz w:val="21"/>
      <w:szCs w:val="21"/>
    </w:rPr>
  </w:style>
  <w:style w:type="character" w:customStyle="1" w:styleId="29">
    <w:name w:val="folder1"/>
    <w:basedOn w:val="9"/>
    <w:qFormat/>
    <w:uiPriority w:val="0"/>
  </w:style>
  <w:style w:type="character" w:customStyle="1" w:styleId="30">
    <w:name w:val="file"/>
    <w:basedOn w:val="9"/>
    <w:qFormat/>
    <w:uiPriority w:val="0"/>
    <w:rPr>
      <w:color w:val="4D4D4D"/>
      <w:sz w:val="21"/>
      <w:szCs w:val="21"/>
    </w:rPr>
  </w:style>
  <w:style w:type="character" w:customStyle="1" w:styleId="31">
    <w:name w:val="hover56"/>
    <w:basedOn w:val="9"/>
    <w:qFormat/>
    <w:uiPriority w:val="0"/>
    <w:rPr>
      <w:color w:val="2B84B5"/>
    </w:rPr>
  </w:style>
  <w:style w:type="character" w:customStyle="1" w:styleId="32">
    <w:name w:val="hover57"/>
    <w:basedOn w:val="9"/>
    <w:qFormat/>
    <w:uiPriority w:val="0"/>
    <w:rPr>
      <w:color w:val="025291"/>
    </w:rPr>
  </w:style>
  <w:style w:type="character" w:customStyle="1" w:styleId="33">
    <w:name w:val="hover58"/>
    <w:basedOn w:val="9"/>
    <w:qFormat/>
    <w:uiPriority w:val="0"/>
    <w:rPr>
      <w:color w:val="D52222"/>
    </w:rPr>
  </w:style>
  <w:style w:type="character" w:customStyle="1" w:styleId="34">
    <w:name w:val="hover"/>
    <w:basedOn w:val="9"/>
    <w:qFormat/>
    <w:uiPriority w:val="0"/>
    <w:rPr>
      <w:color w:val="0063BA"/>
    </w:rPr>
  </w:style>
  <w:style w:type="character" w:customStyle="1" w:styleId="35">
    <w:name w:val="on"/>
    <w:basedOn w:val="9"/>
    <w:qFormat/>
    <w:uiPriority w:val="0"/>
    <w:rPr>
      <w:shd w:val="clear" w:color="auto" w:fill="0365B8"/>
    </w:rPr>
  </w:style>
  <w:style w:type="character" w:customStyle="1" w:styleId="36">
    <w:name w:val="hover8"/>
    <w:basedOn w:val="9"/>
    <w:qFormat/>
    <w:uiPriority w:val="0"/>
    <w:rPr>
      <w:color w:val="0063BA"/>
    </w:rPr>
  </w:style>
  <w:style w:type="character" w:customStyle="1" w:styleId="37">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0580E0-64BA-4807-A320-37E462C2875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380</Words>
  <Characters>2172</Characters>
  <Lines>18</Lines>
  <Paragraphs>5</Paragraphs>
  <TotalTime>135</TotalTime>
  <ScaleCrop>false</ScaleCrop>
  <LinksUpToDate>false</LinksUpToDate>
  <CharactersWithSpaces>2547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2021-04-18T16:43:00Z</dcterms:created>
  <dc:creator>86136</dc:creator>
  <cp:lastModifiedBy>孙世海</cp:lastModifiedBy>
  <cp:lastPrinted>2021-06-03T01:53:00Z</cp:lastPrinted>
  <dcterms:modified xsi:type="dcterms:W3CDTF">2021-06-09T08:11:46Z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