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outlineLvl w:val="0"/>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深圳市第十一届职工技术创新运动会暨2021年深圳</w:t>
      </w:r>
    </w:p>
    <w:p>
      <w:pPr>
        <w:adjustRightInd w:val="0"/>
        <w:snapToGrid w:val="0"/>
        <w:spacing w:line="580" w:lineRule="exact"/>
        <w:jc w:val="center"/>
        <w:outlineLvl w:val="0"/>
        <w:rPr>
          <w:rFonts w:ascii="华文中宋" w:hAnsi="华文中宋" w:eastAsia="华文中宋" w:cs="仿宋_GB2312"/>
          <w:b/>
          <w:sz w:val="36"/>
          <w:szCs w:val="36"/>
        </w:rPr>
      </w:pPr>
      <w:r>
        <w:rPr>
          <w:rFonts w:hint="eastAsia" w:ascii="华文中宋" w:hAnsi="华文中宋" w:eastAsia="华文中宋" w:cs="华文中宋"/>
          <w:b/>
          <w:sz w:val="36"/>
          <w:szCs w:val="36"/>
        </w:rPr>
        <w:t>技能大赛食品检验职业技能竞赛工作方案</w:t>
      </w:r>
    </w:p>
    <w:p>
      <w:pPr>
        <w:spacing w:line="600" w:lineRule="exact"/>
        <w:ind w:firstLine="640" w:firstLineChars="200"/>
        <w:outlineLvl w:val="1"/>
        <w:rPr>
          <w:rFonts w:hint="eastAsia" w:ascii="宋体" w:hAnsi="宋体" w:cs="黑体"/>
          <w:bCs/>
          <w:sz w:val="32"/>
          <w:szCs w:val="32"/>
        </w:rPr>
      </w:pPr>
    </w:p>
    <w:p>
      <w:pPr>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一、时间安排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初赛理论考试时间：2021年8月14日（周日）下午15:00开始，分批入场。具体时间另行通知。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赛前培训：2021年8月21日，具体时间另行通知。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实验操作决赛时间：2021年8月28日（周六）上午8点30分起全天。</w:t>
      </w:r>
    </w:p>
    <w:p>
      <w:pPr>
        <w:spacing w:line="60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二、竞赛地点</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初赛理论考试地点：深圳市福田区福强路1007号高训大厦15楼</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实验操作决赛地点：深圳市福田区红荔西路8133号农科商务办公楼13楼，深圳市深业航天食品与环境检测科技有限公司</w:t>
      </w:r>
    </w:p>
    <w:p>
      <w:pPr>
        <w:spacing w:line="600" w:lineRule="exact"/>
        <w:ind w:firstLine="640" w:firstLineChars="200"/>
        <w:outlineLvl w:val="1"/>
        <w:rPr>
          <w:rFonts w:hint="eastAsia" w:ascii="黑体" w:hAnsi="黑体" w:eastAsia="黑体" w:cs="黑体"/>
          <w:bCs/>
          <w:sz w:val="32"/>
          <w:szCs w:val="32"/>
        </w:rPr>
      </w:pPr>
      <w:r>
        <w:rPr>
          <w:rFonts w:hint="eastAsia" w:ascii="黑体" w:hAnsi="黑体" w:eastAsia="黑体" w:cs="黑体"/>
          <w:bCs/>
          <w:sz w:val="32"/>
          <w:szCs w:val="32"/>
        </w:rPr>
        <w:t>三、参赛对象</w:t>
      </w:r>
    </w:p>
    <w:p>
      <w:pPr>
        <w:spacing w:line="60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满16周岁、法定退休年龄以内的中国大陆公民，且在我市就业并参保6个月以上或者我市院校（职业院校）就读的，由所在单位、院校（职业院校）推荐报名参赛。已被认定为“深圳市技术能手”的选手不得参加相同项目的职业技能竞赛。同一单位报名人数不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（二）注册地点在深圳具有检验资质的食品、农产品检验检测机构均可报名参加。承担了深圳市市场监管局食品、食用农产品定量检测任务及“一街一室一车”检验任务的检测机构原则上必须参加。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（三）鼓励注册在深圳从事食品农产品生产经营的企业检验人员报名参赛。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（四）所有参赛人员均需所在工作单位为其交纳最近半年社保才能报名，如发现作假立即取消参赛资格和成绩并通报。</w:t>
      </w:r>
    </w:p>
    <w:p>
      <w:pPr>
        <w:spacing w:line="600" w:lineRule="exact"/>
        <w:ind w:firstLine="627" w:firstLineChars="196"/>
        <w:outlineLvl w:val="1"/>
        <w:rPr>
          <w:rFonts w:hint="eastAsia" w:ascii="黑体" w:hAnsi="黑体" w:eastAsia="黑体" w:cs="黑体"/>
          <w:b/>
          <w:sz w:val="32"/>
          <w:szCs w:val="32"/>
        </w:rPr>
      </w:pPr>
      <w:r>
        <w:rPr>
          <w:rFonts w:hint="eastAsia" w:ascii="黑体" w:hAnsi="黑体" w:eastAsia="黑体" w:cs="黑体"/>
          <w:bCs/>
          <w:sz w:val="32"/>
          <w:szCs w:val="32"/>
        </w:rPr>
        <w:t>四、竞赛内容</w:t>
      </w:r>
    </w:p>
    <w:p>
      <w:pPr>
        <w:adjustRightInd w:val="0"/>
        <w:snapToGrid w:val="0"/>
        <w:spacing w:line="600" w:lineRule="exact"/>
        <w:ind w:firstLine="627" w:firstLineChars="196"/>
        <w:rPr>
          <w:rFonts w:hint="eastAsia" w:ascii="仿宋_GB2312" w:hAnsi="仿宋_GB2312" w:eastAsia="仿宋_GB2312" w:cs="仿宋_GB2312"/>
          <w:sz w:val="32"/>
          <w:szCs w:val="32"/>
        </w:rPr>
      </w:pPr>
      <w:bookmarkStart w:id="0" w:name="_Hlk517771956"/>
      <w:r>
        <w:rPr>
          <w:rFonts w:hint="eastAsia" w:ascii="仿宋_GB2312" w:hAnsi="仿宋_GB2312" w:eastAsia="仿宋_GB2312" w:cs="仿宋_GB2312"/>
          <w:sz w:val="32"/>
          <w:szCs w:val="32"/>
        </w:rPr>
        <w:t>本次竞赛分初赛和决赛二个阶段进行，初赛为理论知识竞赛，决赛为实际操作竞赛。</w:t>
      </w:r>
    </w:p>
    <w:p>
      <w:pPr>
        <w:tabs>
          <w:tab w:val="left" w:pos="312"/>
        </w:tabs>
        <w:adjustRightInd w:val="0"/>
        <w:snapToGrid w:val="0"/>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（一）初赛</w:t>
      </w:r>
      <w:bookmarkEnd w:id="0"/>
      <w:bookmarkStart w:id="1" w:name="_Hlk517772048"/>
    </w:p>
    <w:p>
      <w:pPr>
        <w:tabs>
          <w:tab w:val="left" w:pos="312"/>
        </w:tabs>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执委会办公室组织专家参照竞赛标准编制题库（包含300个知识点）并提供给参赛选手复习，初赛当天由命题专家从题库中随机抽取部分知识点，并结合企业及行业实际情况，适当增加新知识、新技术、新设备、新技能等相关内容，封闭出题。</w:t>
      </w:r>
      <w:r>
        <w:rPr>
          <w:rFonts w:ascii="仿宋_GB2312" w:hAnsi="仿宋_GB2312" w:eastAsia="仿宋_GB2312" w:cs="仿宋_GB2312"/>
          <w:sz w:val="32"/>
          <w:szCs w:val="32"/>
        </w:rPr>
        <w:t xml:space="preserve"> </w:t>
      </w:r>
    </w:p>
    <w:p>
      <w:pPr>
        <w:tabs>
          <w:tab w:val="left" w:pos="312"/>
        </w:tabs>
        <w:adjustRightInd w:val="0"/>
        <w:snapToGrid w:val="0"/>
        <w:spacing w:line="580" w:lineRule="exact"/>
        <w:ind w:firstLine="640" w:firstLineChars="200"/>
        <w:rPr>
          <w:rFonts w:hint="eastAsia" w:ascii="仿宋_GB2312" w:hAnsi="仿宋_GB2312" w:eastAsia="仿宋_GB2312" w:cs="仿宋_GB2312"/>
          <w:spacing w:val="-6"/>
          <w:kern w:val="1"/>
          <w:sz w:val="32"/>
          <w:szCs w:val="32"/>
        </w:rPr>
      </w:pPr>
      <w:r>
        <w:rPr>
          <w:rFonts w:hint="eastAsia" w:ascii="仿宋_GB2312" w:hAnsi="仿宋_GB2312" w:eastAsia="仿宋_GB2312" w:cs="仿宋_GB2312"/>
          <w:sz w:val="32"/>
          <w:szCs w:val="32"/>
        </w:rPr>
        <w:t>考试方式采用计算机答题，时间共60分钟，满分为100分，60分为合格。</w:t>
      </w:r>
      <w:r>
        <w:rPr>
          <w:rFonts w:hint="eastAsia" w:ascii="仿宋_GB2312" w:hAnsi="仿宋_GB2312" w:eastAsia="仿宋_GB2312" w:cs="仿宋_GB2312"/>
          <w:spacing w:val="-6"/>
          <w:kern w:val="1"/>
          <w:sz w:val="32"/>
          <w:szCs w:val="32"/>
        </w:rPr>
        <w:t>竞赛内容如下表所示：</w:t>
      </w:r>
    </w:p>
    <w:p>
      <w:pPr>
        <w:tabs>
          <w:tab w:val="left" w:pos="312"/>
        </w:tabs>
        <w:adjustRightInd w:val="0"/>
        <w:snapToGrid w:val="0"/>
        <w:spacing w:line="580" w:lineRule="exact"/>
        <w:ind w:firstLine="616" w:firstLineChars="200"/>
        <w:rPr>
          <w:rFonts w:hint="eastAsia" w:ascii="仿宋_GB2312" w:hAnsi="仿宋_GB2312" w:eastAsia="仿宋_GB2312" w:cs="仿宋_GB2312"/>
          <w:spacing w:val="-6"/>
          <w:kern w:val="1"/>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01"/>
        <w:gridCol w:w="7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pacing w:val="-6"/>
                <w:sz w:val="28"/>
                <w:szCs w:val="28"/>
              </w:rPr>
            </w:pPr>
            <w:r>
              <w:rPr>
                <w:rFonts w:hint="eastAsia" w:ascii="仿宋_GB2312" w:hAnsi="仿宋_GB2312" w:eastAsia="仿宋_GB2312" w:cs="仿宋_GB2312"/>
                <w:sz w:val="28"/>
                <w:szCs w:val="28"/>
              </w:rPr>
              <w:t>竞赛范围</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pacing w:val="-6"/>
                <w:sz w:val="28"/>
                <w:szCs w:val="28"/>
              </w:rPr>
            </w:pPr>
            <w:r>
              <w:rPr>
                <w:rFonts w:hint="eastAsia" w:ascii="仿宋_GB2312" w:hAnsi="仿宋_GB2312" w:eastAsia="仿宋_GB2312" w:cs="仿宋_GB2312"/>
                <w:sz w:val="28"/>
                <w:szCs w:val="28"/>
              </w:rPr>
              <w:t>竞赛内容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bookmarkStart w:id="2" w:name="_Hlk520708908"/>
            <w:r>
              <w:rPr>
                <w:rFonts w:hint="eastAsia" w:ascii="仿宋_GB2312" w:hAnsi="仿宋_GB2312" w:eastAsia="仿宋_GB2312" w:cs="仿宋_GB2312"/>
                <w:sz w:val="24"/>
              </w:rPr>
              <w:t>基础</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知识（30%）</w:t>
            </w:r>
          </w:p>
          <w:bookmarkEnd w:id="2"/>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法律法规、质量标准知识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1.食品检验工职业道德。</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2.《中华人民共和国食品安全法》、《中华人民共和国标准化法》等相关法律、法规知识。</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3.食品检测相关标准。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06" w:type="dxa"/>
            <w:vMerge w:val="continue"/>
            <w:tcBorders>
              <w:top w:val="single" w:color="auto" w:sz="4" w:space="0"/>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理化检验基础知识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1.实验用水、常用试剂的规格及试剂的使用和保存。</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2.实验室安全知识。</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3.分析天平及其称量方法。</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4.滴定分析基本操作。</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5.重量分析基本操作。</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6.量具的校准。</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7.实验室结果的分析、数据修约及检验报告编制。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06" w:type="dxa"/>
            <w:vMerge w:val="continue"/>
            <w:tcBorders>
              <w:top w:val="single" w:color="auto" w:sz="4" w:space="0"/>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微生物检验基础知识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1.无菌操作技术。</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2.微生物的染色、形态和表面结构观察。</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3.细菌、霉菌的生物习性与特性。</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4.配制培养基。</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5.消毒和灭菌方法。</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6.菌种分离纯化技术和微生物的培养方法。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专业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知识（60%）</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理化检验</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1.食品中水分、灰分的测定。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2.食品中酸价、过氧化值的测定。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3.食品中总糖、二氧化硫、蛋白质、脂肪的测定。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4.食品中亚硝酸盐、氰化物、甲醛的测定。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5.食品中钾、钠的测定。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6.食品中铅、砷、汞、镉的测定。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7.食品中生物毒素的测定。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8.食品中农药残留的测定。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9.食品中兽药残留的测定。</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10.食品感官检验技术。</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11.食品检验过程中样品的前处理方法（有机物破坏法、干法灰化法、湿法消化法、蒸馏等）。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6" w:type="dxa"/>
            <w:vMerge w:val="continue"/>
            <w:tcBorders>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食品添加剂检验</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1.食品添加剂的来源、分类、特征和作用。</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2.食品添加剂的使用原则。</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3.食品添加剂的质量标准。</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4.食品添加剂的检测标准。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6" w:type="dxa"/>
            <w:vMerge w:val="continue"/>
            <w:tcBorders>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工具设备知识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1.旋光仪、分光光度计、折光仪、pH计、电导率仪等食品理化检验常用设备的检测原理、应用及维护。</w:t>
            </w:r>
          </w:p>
          <w:p>
            <w:pPr>
              <w:spacing w:line="360" w:lineRule="exact"/>
              <w:ind w:left="27"/>
              <w:jc w:val="left"/>
              <w:rPr>
                <w:rFonts w:ascii="仿宋_GB2312" w:hAnsi="仿宋_GB2312" w:eastAsia="仿宋_GB2312" w:cs="仿宋_GB2312"/>
                <w:sz w:val="24"/>
              </w:rPr>
            </w:pPr>
            <w:r>
              <w:rPr>
                <w:rFonts w:hint="eastAsia" w:ascii="仿宋_GB2312" w:hAnsi="仿宋_GB2312" w:eastAsia="仿宋_GB2312" w:cs="仿宋_GB2312"/>
                <w:sz w:val="24"/>
              </w:rPr>
              <w:t>2.液相色谱仪、气相色谱仪、液质联用仪、气质联用仪等食品色谱检验常用设备的检测原理、应用及维护。</w:t>
            </w:r>
          </w:p>
          <w:p>
            <w:pPr>
              <w:spacing w:line="360" w:lineRule="exact"/>
              <w:ind w:left="27"/>
              <w:jc w:val="left"/>
              <w:rPr>
                <w:rFonts w:ascii="仿宋_GB2312" w:hAnsi="仿宋_GB2312" w:eastAsia="仿宋_GB2312" w:cs="仿宋_GB2312"/>
              </w:rPr>
            </w:pPr>
            <w:r>
              <w:rPr>
                <w:rFonts w:hint="eastAsia" w:ascii="仿宋_GB2312" w:hAnsi="仿宋_GB2312" w:eastAsia="仿宋_GB2312" w:cs="仿宋_GB2312"/>
                <w:sz w:val="24"/>
              </w:rPr>
              <w:t>3.电感耦合等离子体光谱仪、电感耦合等离子体质谱仪、原子吸收光谱仪、原子荧光光度计等食品中元素检验常用设备的检测原理、应用及维护。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相关知识（10%）</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安全环保知识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1.化学试剂及实验室废弃物对人体、环境的毒害作用及防范处理知识。</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2.实验室安全防护知识。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06" w:type="dxa"/>
            <w:vMerge w:val="continue"/>
            <w:tcBorders>
              <w:left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相关知识</w:t>
            </w:r>
          </w:p>
        </w:tc>
        <w:tc>
          <w:tcPr>
            <w:tcW w:w="72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1.深圳市创建食品安全文明城市的相关措施。</w:t>
            </w:r>
          </w:p>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2.国内外食品安全检测手段及新技术、新仪器。</w:t>
            </w:r>
          </w:p>
        </w:tc>
      </w:tr>
    </w:tbl>
    <w:p>
      <w:pPr>
        <w:pStyle w:val="2"/>
      </w:pPr>
    </w:p>
    <w:bookmarkEnd w:id="1"/>
    <w:p>
      <w:pPr>
        <w:adjustRightInd w:val="0"/>
        <w:snapToGrid w:val="0"/>
        <w:spacing w:line="580" w:lineRule="exact"/>
        <w:ind w:firstLine="630" w:firstLineChars="196"/>
        <w:rPr>
          <w:rFonts w:hint="eastAsia" w:ascii="楷体_GB2312" w:hAnsi="楷体_GB2312" w:eastAsia="楷体_GB2312" w:cs="楷体_GB2312"/>
          <w:b/>
          <w:bCs/>
          <w:sz w:val="32"/>
          <w:szCs w:val="32"/>
        </w:rPr>
      </w:pPr>
      <w:bookmarkStart w:id="3" w:name="_Hlk517772066"/>
      <w:bookmarkStart w:id="4" w:name="_Hlk517772210"/>
      <w:r>
        <w:rPr>
          <w:rFonts w:hint="eastAsia" w:ascii="楷体_GB2312" w:hAnsi="楷体_GB2312" w:eastAsia="楷体_GB2312" w:cs="楷体_GB2312"/>
          <w:b/>
          <w:bCs/>
          <w:sz w:val="32"/>
          <w:szCs w:val="32"/>
        </w:rPr>
        <w:t>（二）决赛</w:t>
      </w:r>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由执委会组织专家参照竞赛标准命题，选手按赛场提供的实操任务书以现场实际操作的方式进行。</w:t>
      </w:r>
      <w:bookmarkEnd w:id="3"/>
      <w:r>
        <w:rPr>
          <w:rFonts w:hint="eastAsia" w:ascii="仿宋_GB2312" w:hAnsi="仿宋_GB2312" w:eastAsia="仿宋_GB2312" w:cs="仿宋_GB2312"/>
          <w:sz w:val="32"/>
          <w:szCs w:val="32"/>
        </w:rPr>
        <w:t>现场完成肉制品中苯甲酸、山梨酸的测定的实际操作，时间共60分钟，满分为100分。</w:t>
      </w:r>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竞赛项目：肉制品中苯甲酸、山梨酸的测定，样品数量1份。</w:t>
      </w:r>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竞赛内容：参照GB 5009.28-2016《食品安全国家标准 食品中苯甲酸、山梨酸和糖精钠的测定》编制作业指导书。竞赛内容如下表所示：</w:t>
      </w:r>
    </w:p>
    <w:bookmarkEnd w:id="4"/>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3"/>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26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竞赛内容</w:t>
            </w:r>
          </w:p>
        </w:tc>
        <w:tc>
          <w:tcPr>
            <w:tcW w:w="64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竞赛要点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83" w:type="dxa"/>
            <w:tcBorders>
              <w:top w:val="single" w:color="auto" w:sz="4" w:space="0"/>
              <w:left w:val="single" w:color="auto" w:sz="4" w:space="0"/>
              <w:right w:val="single" w:color="auto" w:sz="4" w:space="0"/>
            </w:tcBorders>
            <w:noWrap w:val="0"/>
            <w:vAlign w:val="center"/>
          </w:tcPr>
          <w:p>
            <w:pPr>
              <w:spacing w:line="360" w:lineRule="exact"/>
              <w:ind w:left="27"/>
              <w:jc w:val="center"/>
              <w:rPr>
                <w:rFonts w:ascii="仿宋_GB2312" w:hAnsi="仿宋_GB2312" w:eastAsia="仿宋_GB2312" w:cs="仿宋_GB2312"/>
                <w:sz w:val="24"/>
              </w:rPr>
            </w:pPr>
            <w:r>
              <w:rPr>
                <w:rFonts w:hint="eastAsia" w:ascii="仿宋_GB2312" w:hAnsi="仿宋_GB2312" w:eastAsia="仿宋_GB2312" w:cs="仿宋_GB2312"/>
                <w:sz w:val="24"/>
              </w:rPr>
              <w:t>试样溶液制备</w:t>
            </w:r>
          </w:p>
        </w:tc>
        <w:tc>
          <w:tcPr>
            <w:tcW w:w="6459"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left="27"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天平的使用、称取样品、加液、超声、离心、转移、定容、过滤操作规范。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83" w:type="dxa"/>
            <w:tcBorders>
              <w:left w:val="single" w:color="auto" w:sz="4" w:space="0"/>
              <w:right w:val="single" w:color="auto" w:sz="4" w:space="0"/>
            </w:tcBorders>
            <w:noWrap w:val="0"/>
            <w:vAlign w:val="center"/>
          </w:tcPr>
          <w:p>
            <w:pPr>
              <w:spacing w:line="360" w:lineRule="exact"/>
              <w:ind w:left="27"/>
              <w:jc w:val="center"/>
              <w:rPr>
                <w:rFonts w:ascii="仿宋_GB2312" w:hAnsi="仿宋_GB2312" w:eastAsia="仿宋_GB2312" w:cs="仿宋_GB2312"/>
                <w:sz w:val="24"/>
              </w:rPr>
            </w:pPr>
            <w:r>
              <w:rPr>
                <w:rFonts w:hint="eastAsia" w:ascii="仿宋_GB2312" w:hAnsi="仿宋_GB2312" w:eastAsia="仿宋_GB2312" w:cs="仿宋_GB2312"/>
                <w:sz w:val="24"/>
              </w:rPr>
              <w:t>检测结果与数据处理</w:t>
            </w:r>
          </w:p>
        </w:tc>
        <w:tc>
          <w:tcPr>
            <w:tcW w:w="6459"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left="27"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原始记录信息完善、数据记录及时规范整洁、计算公式单位准确、结果准确、标准曲线相关系数、精密度、与参考值的偏差。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83" w:type="dxa"/>
            <w:tcBorders>
              <w:left w:val="single" w:color="auto" w:sz="4" w:space="0"/>
              <w:bottom w:val="single" w:color="auto" w:sz="4" w:space="0"/>
              <w:right w:val="single" w:color="auto" w:sz="4" w:space="0"/>
            </w:tcBorders>
            <w:noWrap w:val="0"/>
            <w:vAlign w:val="center"/>
          </w:tcPr>
          <w:p>
            <w:pPr>
              <w:spacing w:line="360" w:lineRule="exact"/>
              <w:ind w:left="27"/>
              <w:jc w:val="center"/>
              <w:rPr>
                <w:rFonts w:ascii="仿宋_GB2312" w:hAnsi="仿宋_GB2312" w:eastAsia="仿宋_GB2312" w:cs="仿宋_GB2312"/>
                <w:sz w:val="24"/>
              </w:rPr>
            </w:pPr>
            <w:r>
              <w:rPr>
                <w:rFonts w:hint="eastAsia" w:ascii="仿宋_GB2312" w:hAnsi="仿宋_GB2312" w:eastAsia="仿宋_GB2312" w:cs="仿宋_GB2312"/>
                <w:sz w:val="24"/>
              </w:rPr>
              <w:t>安全文明操作</w:t>
            </w:r>
          </w:p>
        </w:tc>
        <w:tc>
          <w:tcPr>
            <w:tcW w:w="6459" w:type="dxa"/>
            <w:tcBorders>
              <w:top w:val="single" w:color="auto" w:sz="4" w:space="0"/>
              <w:left w:val="single" w:color="auto" w:sz="4" w:space="0"/>
              <w:bottom w:val="single" w:color="auto" w:sz="4" w:space="0"/>
              <w:right w:val="single" w:color="auto" w:sz="4" w:space="0"/>
            </w:tcBorders>
            <w:noWrap w:val="0"/>
            <w:vAlign w:val="center"/>
          </w:tcPr>
          <w:p>
            <w:pPr>
              <w:pStyle w:val="6"/>
              <w:spacing w:line="360" w:lineRule="exact"/>
              <w:ind w:left="27"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着装规范、标识规范、文明操作规范、安全操作规范、按时完成。</w:t>
            </w:r>
          </w:p>
        </w:tc>
      </w:tr>
    </w:tbl>
    <w:p>
      <w:pPr>
        <w:spacing w:line="580" w:lineRule="exact"/>
        <w:ind w:firstLine="640" w:firstLineChars="200"/>
        <w:outlineLvl w:val="1"/>
        <w:rPr>
          <w:rFonts w:hint="eastAsia" w:ascii="黑体" w:hAnsi="黑体" w:eastAsia="黑体" w:cs="黑体"/>
          <w:b/>
          <w:sz w:val="32"/>
          <w:szCs w:val="32"/>
        </w:rPr>
      </w:pPr>
      <w:r>
        <w:rPr>
          <w:rFonts w:hint="eastAsia" w:ascii="黑体" w:hAnsi="黑体" w:eastAsia="黑体" w:cs="黑体"/>
          <w:bCs/>
          <w:sz w:val="32"/>
          <w:szCs w:val="32"/>
        </w:rPr>
        <w:t>五、评选规则</w:t>
      </w:r>
    </w:p>
    <w:p>
      <w:pPr>
        <w:spacing w:line="560" w:lineRule="exact"/>
        <w:ind w:firstLine="643" w:firstLineChars="200"/>
        <w:jc w:val="left"/>
        <w:outlineLvl w:val="2"/>
        <w:rPr>
          <w:rFonts w:hint="eastAsia" w:ascii="楷体_GB2312" w:hAnsi="楷体_GB2312" w:eastAsia="楷体_GB2312" w:cs="楷体_GB2312"/>
          <w:b/>
          <w:bCs/>
          <w:sz w:val="32"/>
          <w:szCs w:val="32"/>
        </w:rPr>
      </w:pPr>
      <w:bookmarkStart w:id="5" w:name="_Hlk517772379"/>
      <w:r>
        <w:rPr>
          <w:rFonts w:hint="eastAsia" w:ascii="楷体_GB2312" w:hAnsi="楷体_GB2312" w:eastAsia="楷体_GB2312" w:cs="楷体_GB2312"/>
          <w:b/>
          <w:bCs/>
          <w:sz w:val="32"/>
          <w:szCs w:val="32"/>
        </w:rPr>
        <w:t>（一）评分标准</w:t>
      </w:r>
    </w:p>
    <w:bookmarkEnd w:id="5"/>
    <w:p>
      <w:pPr>
        <w:adjustRightInd w:val="0"/>
        <w:snapToGrid w:val="0"/>
        <w:spacing w:line="580" w:lineRule="exact"/>
        <w:ind w:firstLine="627" w:firstLineChars="196"/>
        <w:rPr>
          <w:rFonts w:hint="eastAsia" w:ascii="仿宋_GB2312" w:hAnsi="仿宋_GB2312" w:eastAsia="仿宋_GB2312" w:cs="仿宋_GB2312"/>
          <w:sz w:val="32"/>
          <w:szCs w:val="32"/>
        </w:rPr>
      </w:pPr>
      <w:bookmarkStart w:id="6" w:name="_Hlk517772396"/>
      <w:bookmarkStart w:id="7" w:name="_Hlk517772437"/>
      <w:r>
        <w:rPr>
          <w:rFonts w:hint="eastAsia" w:ascii="仿宋_GB2312" w:hAnsi="仿宋_GB2312" w:eastAsia="仿宋_GB2312" w:cs="仿宋_GB2312"/>
          <w:sz w:val="32"/>
          <w:szCs w:val="32"/>
        </w:rPr>
        <w:t>1.初赛评分标准</w:t>
      </w:r>
    </w:p>
    <w:bookmarkEnd w:id="6"/>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题型为单选题、多选题、判断题</w:t>
      </w:r>
      <w:r>
        <w:rPr>
          <w:rFonts w:hint="eastAsia" w:ascii="仿宋_GB2312" w:hAnsi="仿宋_GB2312" w:eastAsia="仿宋_GB2312" w:cs="仿宋_GB2312"/>
          <w:spacing w:val="-6"/>
          <w:kern w:val="1"/>
          <w:sz w:val="32"/>
          <w:szCs w:val="32"/>
        </w:rPr>
        <w:t>；</w:t>
      </w:r>
      <w:r>
        <w:rPr>
          <w:rFonts w:hint="eastAsia" w:ascii="仿宋_GB2312" w:hAnsi="仿宋_GB2312" w:eastAsia="仿宋_GB2312" w:cs="仿宋_GB2312"/>
          <w:sz w:val="32"/>
          <w:szCs w:val="32"/>
        </w:rPr>
        <w:t>单选题</w:t>
      </w:r>
      <w:r>
        <w:rPr>
          <w:rFonts w:hint="eastAsia" w:ascii="仿宋_GB2312" w:hAnsi="仿宋_GB2312" w:eastAsia="仿宋_GB2312" w:cs="仿宋_GB2312"/>
          <w:spacing w:val="-6"/>
          <w:kern w:val="1"/>
          <w:sz w:val="32"/>
          <w:szCs w:val="32"/>
        </w:rPr>
        <w:t>共50题，每题1分；多选题共15题，每题2分；</w:t>
      </w:r>
      <w:r>
        <w:rPr>
          <w:rFonts w:hint="eastAsia" w:ascii="仿宋_GB2312" w:hAnsi="仿宋_GB2312" w:eastAsia="仿宋_GB2312" w:cs="仿宋_GB2312"/>
          <w:sz w:val="32"/>
          <w:szCs w:val="32"/>
        </w:rPr>
        <w:t>判断</w:t>
      </w:r>
      <w:r>
        <w:rPr>
          <w:rFonts w:hint="eastAsia" w:ascii="仿宋_GB2312" w:hAnsi="仿宋_GB2312" w:eastAsia="仿宋_GB2312" w:cs="仿宋_GB2312"/>
          <w:spacing w:val="-6"/>
          <w:kern w:val="1"/>
          <w:sz w:val="32"/>
          <w:szCs w:val="32"/>
        </w:rPr>
        <w:t>题共20题，每题1分；各题型错选、多选或少选均不得分。</w:t>
      </w:r>
    </w:p>
    <w:p>
      <w:pPr>
        <w:adjustRightInd w:val="0"/>
        <w:snapToGrid w:val="0"/>
        <w:spacing w:line="580" w:lineRule="exact"/>
        <w:ind w:firstLine="627" w:firstLineChars="196"/>
        <w:rPr>
          <w:rFonts w:hint="eastAsia" w:ascii="仿宋_GB2312" w:hAnsi="仿宋_GB2312" w:eastAsia="仿宋_GB2312" w:cs="仿宋_GB2312"/>
          <w:sz w:val="32"/>
          <w:szCs w:val="32"/>
        </w:rPr>
      </w:pPr>
      <w:bookmarkStart w:id="8" w:name="_Hlk517772412"/>
      <w:r>
        <w:rPr>
          <w:rFonts w:hint="eastAsia" w:ascii="仿宋_GB2312" w:hAnsi="仿宋_GB2312" w:eastAsia="仿宋_GB2312" w:cs="仿宋_GB2312"/>
          <w:sz w:val="32"/>
          <w:szCs w:val="32"/>
        </w:rPr>
        <w:t>2.决赛评分标准</w:t>
      </w:r>
      <w:bookmarkEnd w:id="8"/>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决赛为肉制品中苯甲酸和山梨酸含量的测定，从试样溶液制备、检测结果与数据处理、文明操作等三方面综合评分。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20"/>
        <w:gridCol w:w="1290"/>
        <w:gridCol w:w="39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7" w:type="dxa"/>
            <w:noWrap w:val="0"/>
            <w:vAlign w:val="center"/>
          </w:tcPr>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120" w:type="dxa"/>
            <w:noWrap w:val="0"/>
            <w:vAlign w:val="center"/>
          </w:tcPr>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竞赛</w:t>
            </w:r>
          </w:p>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项目</w:t>
            </w:r>
          </w:p>
        </w:tc>
        <w:tc>
          <w:tcPr>
            <w:tcW w:w="1290" w:type="dxa"/>
            <w:noWrap w:val="0"/>
            <w:vAlign w:val="center"/>
          </w:tcPr>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竞赛</w:t>
            </w:r>
          </w:p>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内容</w:t>
            </w:r>
          </w:p>
        </w:tc>
        <w:tc>
          <w:tcPr>
            <w:tcW w:w="3950" w:type="dxa"/>
            <w:noWrap w:val="0"/>
            <w:vAlign w:val="center"/>
          </w:tcPr>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1215" w:type="dxa"/>
            <w:noWrap w:val="0"/>
            <w:vAlign w:val="center"/>
          </w:tcPr>
          <w:p>
            <w:pPr>
              <w:ind w:left="27"/>
              <w:jc w:val="center"/>
              <w:rPr>
                <w:rFonts w:ascii="仿宋_GB2312" w:hAnsi="仿宋_GB2312" w:eastAsia="仿宋_GB2312" w:cs="仿宋_GB2312"/>
                <w:b/>
                <w:sz w:val="24"/>
              </w:rPr>
            </w:pPr>
            <w:r>
              <w:rPr>
                <w:rFonts w:hint="eastAsia" w:ascii="仿宋_GB2312" w:hAnsi="仿宋_GB2312" w:eastAsia="仿宋_GB2312" w:cs="仿宋_GB2312"/>
                <w:b/>
                <w:sz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120"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试样溶液制备</w:t>
            </w: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天平的正确使用</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1.使用天平前检查水平状态。</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2.使用过程熟练清零及读数。</w:t>
            </w:r>
          </w:p>
        </w:tc>
        <w:tc>
          <w:tcPr>
            <w:tcW w:w="1215"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称取样品</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1.正确选用称样容器。</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2.准确称量。</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超声</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1.正确使用超声仪。</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2.加热温度和时间控制准确。</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加液</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1.正确使用吸量管。</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2.按亚铁氰化钾、乙酸锌的顺序准确加液。</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3.每次加液后摇匀。</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离心</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1.正确使用离心机。</w:t>
            </w:r>
          </w:p>
          <w:p>
            <w:pPr>
              <w:ind w:left="27"/>
              <w:jc w:val="left"/>
              <w:rPr>
                <w:rFonts w:ascii="仿宋_GB2312" w:hAnsi="仿宋_GB2312" w:eastAsia="仿宋_GB2312" w:cs="仿宋_GB2312"/>
                <w:sz w:val="24"/>
              </w:rPr>
            </w:pPr>
            <w:r>
              <w:rPr>
                <w:rFonts w:hint="eastAsia" w:ascii="仿宋_GB2312" w:hAnsi="仿宋_GB2312" w:eastAsia="仿宋_GB2312" w:cs="仿宋_GB2312"/>
                <w:sz w:val="24"/>
              </w:rPr>
              <w:t>2.离心转速和时间控制准确。</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转移</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1.转移过程中不能漏液。</w:t>
            </w:r>
          </w:p>
          <w:p>
            <w:pPr>
              <w:ind w:left="27"/>
              <w:jc w:val="left"/>
              <w:rPr>
                <w:rFonts w:ascii="仿宋_GB2312" w:hAnsi="仿宋_GB2312" w:eastAsia="仿宋_GB2312" w:cs="仿宋_GB2312"/>
                <w:sz w:val="24"/>
              </w:rPr>
            </w:pPr>
            <w:r>
              <w:rPr>
                <w:rFonts w:hint="eastAsia" w:ascii="仿宋_GB2312" w:hAnsi="仿宋_GB2312" w:eastAsia="仿宋_GB2312" w:cs="仿宋_GB2312"/>
                <w:sz w:val="24"/>
              </w:rPr>
              <w:t>2.转移过程中不能将残渣转入容量瓶。</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定容、过滤</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1.准确定容，摇匀未漏液。</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2.过滤操作规范，弃去初滤液。</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120"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检测结果与数据处理</w:t>
            </w: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数据记录</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1.及时记录数据，数据填写规范。</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2.原始记录版面整洁。</w:t>
            </w:r>
          </w:p>
        </w:tc>
        <w:tc>
          <w:tcPr>
            <w:tcW w:w="1215"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结果准确</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1.计算准确。</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2.重复测定结果精密度符合要求。</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3.检测结果与参考值的偏差未超过15%。</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120"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文明操作</w:t>
            </w: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安全操作</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1.实验过程安全操作，未损坏仪器和玻璃器皿。</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2.按要求穿实验服、佩戴手套。</w:t>
            </w:r>
          </w:p>
        </w:tc>
        <w:tc>
          <w:tcPr>
            <w:tcW w:w="1215" w:type="dxa"/>
            <w:vMerge w:val="restart"/>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考场秩序</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1.及时清理实验过程的废弃物，保持区域整洁。</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2.实验过程保持安静，不得影响其他选手的正常操作。</w:t>
            </w:r>
          </w:p>
        </w:tc>
        <w:tc>
          <w:tcPr>
            <w:tcW w:w="1215" w:type="dxa"/>
            <w:vMerge w:val="continue"/>
            <w:noWrap w:val="0"/>
            <w:vAlign w:val="center"/>
          </w:tcPr>
          <w:p>
            <w:pPr>
              <w:ind w:left="27"/>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dxa"/>
            <w:vMerge w:val="continue"/>
            <w:noWrap w:val="0"/>
            <w:vAlign w:val="center"/>
          </w:tcPr>
          <w:p>
            <w:pPr>
              <w:ind w:left="27"/>
              <w:jc w:val="center"/>
              <w:rPr>
                <w:rFonts w:ascii="仿宋_GB2312" w:hAnsi="仿宋_GB2312" w:eastAsia="仿宋_GB2312" w:cs="仿宋_GB2312"/>
                <w:sz w:val="24"/>
              </w:rPr>
            </w:pPr>
          </w:p>
        </w:tc>
        <w:tc>
          <w:tcPr>
            <w:tcW w:w="1120" w:type="dxa"/>
            <w:vMerge w:val="continue"/>
            <w:noWrap w:val="0"/>
            <w:vAlign w:val="center"/>
          </w:tcPr>
          <w:p>
            <w:pPr>
              <w:ind w:left="27"/>
              <w:jc w:val="center"/>
              <w:rPr>
                <w:rFonts w:ascii="仿宋_GB2312" w:hAnsi="仿宋_GB2312" w:eastAsia="仿宋_GB2312" w:cs="仿宋_GB2312"/>
                <w:sz w:val="24"/>
              </w:rPr>
            </w:pPr>
          </w:p>
        </w:tc>
        <w:tc>
          <w:tcPr>
            <w:tcW w:w="1290" w:type="dxa"/>
            <w:noWrap w:val="0"/>
            <w:vAlign w:val="center"/>
          </w:tcPr>
          <w:p>
            <w:pPr>
              <w:ind w:left="27"/>
              <w:jc w:val="center"/>
              <w:rPr>
                <w:rFonts w:ascii="仿宋_GB2312" w:hAnsi="仿宋_GB2312" w:eastAsia="仿宋_GB2312" w:cs="仿宋_GB2312"/>
                <w:sz w:val="24"/>
              </w:rPr>
            </w:pPr>
            <w:r>
              <w:rPr>
                <w:rFonts w:hint="eastAsia" w:ascii="仿宋_GB2312" w:hAnsi="仿宋_GB2312" w:eastAsia="仿宋_GB2312" w:cs="仿宋_GB2312"/>
                <w:sz w:val="24"/>
              </w:rPr>
              <w:t>按时完成</w:t>
            </w:r>
          </w:p>
        </w:tc>
        <w:tc>
          <w:tcPr>
            <w:tcW w:w="3950" w:type="dxa"/>
            <w:noWrap w:val="0"/>
            <w:vAlign w:val="center"/>
          </w:tcPr>
          <w:p>
            <w:pPr>
              <w:ind w:left="27"/>
              <w:jc w:val="left"/>
              <w:rPr>
                <w:rFonts w:ascii="仿宋_GB2312" w:hAnsi="仿宋_GB2312" w:eastAsia="仿宋_GB2312" w:cs="仿宋_GB2312"/>
                <w:sz w:val="24"/>
              </w:rPr>
            </w:pPr>
            <w:r>
              <w:rPr>
                <w:rFonts w:hint="eastAsia" w:ascii="仿宋_GB2312" w:hAnsi="仿宋_GB2312" w:eastAsia="仿宋_GB2312" w:cs="仿宋_GB2312"/>
                <w:sz w:val="24"/>
              </w:rPr>
              <w:t>在规定的时限完成操作。</w:t>
            </w:r>
          </w:p>
        </w:tc>
        <w:tc>
          <w:tcPr>
            <w:tcW w:w="1215" w:type="dxa"/>
            <w:vMerge w:val="continue"/>
            <w:noWrap w:val="0"/>
            <w:vAlign w:val="center"/>
          </w:tcPr>
          <w:p>
            <w:pPr>
              <w:ind w:left="27"/>
              <w:jc w:val="center"/>
              <w:rPr>
                <w:rFonts w:ascii="仿宋_GB2312" w:hAnsi="仿宋_GB2312" w:eastAsia="仿宋_GB2312" w:cs="仿宋_GB2312"/>
                <w:sz w:val="24"/>
              </w:rPr>
            </w:pPr>
          </w:p>
        </w:tc>
      </w:tr>
    </w:tbl>
    <w:p>
      <w:pPr>
        <w:adjustRightInd w:val="0"/>
        <w:snapToGrid w:val="0"/>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（二）综合成绩评定办法</w:t>
      </w:r>
      <w:bookmarkEnd w:id="7"/>
    </w:p>
    <w:p>
      <w:pPr>
        <w:spacing w:line="580" w:lineRule="exact"/>
        <w:ind w:firstLine="640" w:firstLineChars="200"/>
        <w:jc w:val="left"/>
        <w:rPr>
          <w:rFonts w:ascii="仿宋_GB2312" w:hAnsi="仿宋_GB2312" w:eastAsia="仿宋_GB2312" w:cs="仿宋_GB2312"/>
          <w:sz w:val="32"/>
          <w:szCs w:val="32"/>
        </w:rPr>
      </w:pPr>
      <w:bookmarkStart w:id="9" w:name="_Hlk517772471"/>
      <w:r>
        <w:rPr>
          <w:rFonts w:hint="eastAsia" w:ascii="仿宋_GB2312" w:hAnsi="仿宋_GB2312" w:eastAsia="仿宋_GB2312" w:cs="仿宋_GB2312"/>
          <w:sz w:val="32"/>
          <w:szCs w:val="32"/>
        </w:rPr>
        <w:t>（一）参赛选手的成绩评定由竞赛裁判组负责，裁判长对最终成绩签字确认。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（二）初赛理论知识竞赛由计算机自动判分。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（三）决赛实际操作竞赛由现场裁判组依据参赛选手的实际操作情况及检测结果按评分标准集体评判和计分。</w:t>
      </w:r>
      <w:bookmarkEnd w:id="9"/>
    </w:p>
    <w:p>
      <w:pPr>
        <w:pStyle w:val="2"/>
        <w:spacing w:line="580" w:lineRule="exact"/>
        <w:ind w:firstLine="640" w:firstLineChars="200"/>
        <w:rPr>
          <w:rFonts w:ascii="仿宋_GB2312" w:hAnsi="仿宋_GB2312" w:eastAsia="仿宋_GB2312" w:cs="仿宋_GB2312"/>
          <w:sz w:val="32"/>
          <w:szCs w:val="32"/>
        </w:rPr>
      </w:pPr>
      <w:bookmarkStart w:id="10" w:name="_Hlk517772541"/>
      <w:r>
        <w:rPr>
          <w:rFonts w:hint="eastAsia" w:ascii="仿宋_GB2312" w:hAnsi="仿宋_GB2312" w:eastAsia="仿宋_GB2312" w:cs="仿宋_GB2312"/>
          <w:sz w:val="32"/>
          <w:szCs w:val="32"/>
        </w:rPr>
        <w:t>（四）选手最终名次依据初赛和决赛两部分成绩按比例累加的综合成绩进行排名。其中初赛成绩占20%、决赛成绩占80%，参赛选手赛后综合成绩=初赛成绩*20%+决赛成绩*80%。当综合成绩相同时，以决赛成绩高者名次在前，若仍相同时，决赛用时短者名次在前。</w:t>
      </w:r>
      <w:bookmarkEnd w:id="10"/>
    </w:p>
    <w:p>
      <w:pPr>
        <w:spacing w:line="58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六、奖项设置</w:t>
      </w:r>
    </w:p>
    <w:p>
      <w:pPr>
        <w:adjustRightInd w:val="0"/>
        <w:snapToGrid w:val="0"/>
        <w:spacing w:line="58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（一）认定“深圳市技术能手”和优先推荐“深圳市五一劳动奖章”</w:t>
      </w:r>
    </w:p>
    <w:p>
      <w:pPr>
        <w:adjustRightInd w:val="0"/>
        <w:snapToGrid w:val="0"/>
        <w:spacing w:line="580" w:lineRule="exact"/>
        <w:ind w:firstLine="627" w:firstLineChars="196"/>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竞赛全部成绩均合格的优胜选手，经市人力资源保障局核准后，前8名可认定为“深圳市技术能手”。</w:t>
      </w:r>
      <w:r>
        <w:rPr>
          <w:rFonts w:hint="eastAsia" w:ascii="楷体_GB2312" w:hAnsi="楷体_GB2312" w:eastAsia="楷体_GB2312" w:cs="楷体_GB2312"/>
          <w:b/>
          <w:bCs/>
          <w:sz w:val="32"/>
          <w:szCs w:val="32"/>
        </w:rPr>
        <w:t>竞赛第一名优先推荐“深圳市五一劳动奖章”！</w:t>
      </w:r>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对原已认定为“深圳市技术能手”的，不再重复认定。</w:t>
      </w:r>
    </w:p>
    <w:p>
      <w:pPr>
        <w:adjustRightInd w:val="0"/>
        <w:snapToGrid w:val="0"/>
        <w:spacing w:line="58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（二）奖项设置</w:t>
      </w:r>
    </w:p>
    <w:p>
      <w:pPr>
        <w:adjustRightInd w:val="0"/>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项目分别设置一等奖、二等奖、三等奖若干名。一等奖获奖比例按照实际参加决赛人数的5%设置且获奖人数不超过3名；二等奖获奖比例按照实际参加决赛人数的10%设置且获奖人数不超过6名，三等奖获奖比例按照实际参加决赛人数的15%设置且获奖人数不超过9名。</w:t>
      </w:r>
    </w:p>
    <w:p>
      <w:pPr>
        <w:adjustRightInd w:val="0"/>
        <w:snapToGrid w:val="0"/>
        <w:spacing w:line="580" w:lineRule="exact"/>
        <w:ind w:firstLine="627" w:firstLineChars="196"/>
        <w:rPr>
          <w:rFonts w:ascii="宋体" w:hAnsi="宋体" w:cs="仿宋_GB2312"/>
          <w:sz w:val="32"/>
          <w:szCs w:val="32"/>
        </w:rPr>
      </w:pPr>
      <w:r>
        <w:rPr>
          <w:rFonts w:hint="eastAsia" w:ascii="仿宋_GB2312" w:hAnsi="仿宋_GB2312" w:eastAsia="仿宋_GB2312" w:cs="仿宋_GB2312"/>
          <w:sz w:val="32"/>
          <w:szCs w:val="32"/>
        </w:rPr>
        <w:t>奖励人数涉及比例的按四舍五入取整。</w:t>
      </w:r>
    </w:p>
    <w:p>
      <w:pPr>
        <w:adjustRightInd w:val="0"/>
        <w:snapToGrid w:val="0"/>
        <w:spacing w:line="58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（三）颁发奖金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综合成绩前18名的选手，由执委会颁发奖金。具体为：一等奖3名(第1名5000元、第2名3000元、第3名2000元）；二等奖各1000元；三等奖各500元。</w:t>
      </w:r>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七、竞赛报名</w:t>
      </w:r>
    </w:p>
    <w:p>
      <w:pPr>
        <w:spacing w:line="580" w:lineRule="exact"/>
        <w:ind w:firstLine="643" w:firstLineChars="200"/>
        <w:rPr>
          <w:rFonts w:hint="eastAsia" w:ascii="楷体_GB2312" w:hAnsi="楷体_GB2312" w:eastAsia="楷体_GB2312" w:cs="楷体_GB2312"/>
          <w:b/>
          <w:bCs/>
          <w:sz w:val="32"/>
          <w:szCs w:val="32"/>
        </w:rPr>
      </w:pPr>
      <w:bookmarkStart w:id="11" w:name="_Hlk517428288"/>
      <w:r>
        <w:rPr>
          <w:rFonts w:hint="eastAsia" w:ascii="楷体_GB2312" w:hAnsi="楷体_GB2312" w:eastAsia="楷体_GB2312" w:cs="楷体_GB2312"/>
          <w:b/>
          <w:bCs/>
          <w:sz w:val="32"/>
          <w:szCs w:val="32"/>
        </w:rPr>
        <w:t>（一）报名时间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即日起至2021年8月8日（周日）。</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（二）报名方式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赛采用网上报名的方式，参赛选手登录深圳市人才一体化综合服务平台，选择职业技能竞赛→职业技能竞赛个人报名→在线申办，按系统要求填写资料并上传报名材料。审核结果请登录深圳市人才一体化综合服务平台→用户中心→我的事项中查看。审核通过后参赛证于竞赛报到时凭身份证发放。深圳市人才一体化综合服务平台登录网址：https://hrsspub.sz.gov.cn/rcyth/website/#/login。</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（三）报名资料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竞赛报名申请表(系统填报资料后下载打印申请表，表格须本人签字和单位盖章，再扫描上传)。</w:t>
      </w:r>
    </w:p>
    <w:p>
      <w:pPr>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bookmarkEnd w:id="11"/>
      <w:r>
        <w:rPr>
          <w:rFonts w:hint="eastAsia" w:ascii="楷体_GB2312" w:hAnsi="楷体_GB2312" w:eastAsia="楷体_GB2312" w:cs="楷体_GB2312"/>
          <w:b/>
          <w:bCs/>
          <w:sz w:val="32"/>
          <w:szCs w:val="32"/>
        </w:rPr>
        <w:t>咨询电话</w:t>
      </w:r>
    </w:p>
    <w:p>
      <w:pPr>
        <w:tabs>
          <w:tab w:val="left" w:pos="3270"/>
          <w:tab w:val="left" w:pos="7080"/>
        </w:tabs>
        <w:adjustRightInd w:val="0"/>
        <w:snapToGrid w:val="0"/>
        <w:spacing w:line="580" w:lineRule="exact"/>
        <w:ind w:firstLine="672" w:firstLineChars="210"/>
        <w:rPr>
          <w:rFonts w:ascii="仿宋_GB2312" w:hAnsi="仿宋_GB2312" w:eastAsia="仿宋_GB2312" w:cs="仿宋_GB2312"/>
          <w:sz w:val="32"/>
          <w:szCs w:val="32"/>
        </w:rPr>
      </w:pPr>
      <w:r>
        <w:rPr>
          <w:rFonts w:hint="eastAsia" w:ascii="仿宋_GB2312" w:hAnsi="仿宋_GB2312" w:eastAsia="仿宋_GB2312" w:cs="仿宋_GB2312"/>
          <w:sz w:val="32"/>
          <w:szCs w:val="32"/>
        </w:rPr>
        <w:t>詹奇鸿，0755-29192543，13924114520。</w:t>
      </w:r>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八、赛前培训</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为使参赛选手能够尽快熟悉设备环境和了解竞赛决赛相关内容与技能要求，由执委会结合竞赛实施进度组织各参赛选手在决赛前熟悉场地设施设备及免费提供安全培训、比赛规则讲解。</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时间：2021年8月21日</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地址：深圳市福田区红荔西路8133号农科商务办公楼13楼，深圳市深业航天食品与环境检测科技有限公司</w:t>
      </w:r>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九、竞赛规则及技术文件</w:t>
      </w:r>
    </w:p>
    <w:p>
      <w:pPr>
        <w:adjustRightInd w:val="0"/>
        <w:snapToGrid w:val="0"/>
        <w:spacing w:line="580" w:lineRule="exact"/>
        <w:ind w:firstLine="630" w:firstLineChars="196"/>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（一）竞赛规则及复习资料</w:t>
      </w:r>
    </w:p>
    <w:p>
      <w:pPr>
        <w:adjustRightInd w:val="0"/>
        <w:snapToGrid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竞赛规则及相关复习资料由参赛选手通过深圳市人才一体化综合服务平台登录网址（</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w:instrText>
      </w:r>
      <w:r>
        <w:rPr>
          <w:rFonts w:hint="eastAsia" w:ascii="仿宋_GB2312" w:hAnsi="仿宋_GB2312" w:eastAsia="仿宋_GB2312" w:cs="仿宋_GB2312"/>
          <w:sz w:val="32"/>
          <w:szCs w:val="32"/>
        </w:rPr>
        <w:instrText xml:space="preserve">https://hrsspub.sz.gov.cn/rcyth/website/#/login</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Style w:val="5"/>
          <w:rFonts w:hint="eastAsia" w:ascii="仿宋_GB2312" w:hAnsi="仿宋_GB2312" w:eastAsia="仿宋_GB2312" w:cs="仿宋_GB2312"/>
          <w:color w:val="auto"/>
          <w:sz w:val="32"/>
          <w:szCs w:val="32"/>
          <w:u w:val="none"/>
        </w:rPr>
        <w:t>https://hrsspub.sz.gov.cn/rcyth/website/#/login</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）自行下载（其中包括：《食品检验职业技能竞赛实施方案》、《食品检验职业技能竞赛技术文件》等）以及《中华人民共和国食品安全法》、《化验员实用手册（第三版）》 化学工业出版社、5009.28-2016《食品安全国家标准 食品中苯甲酸、山梨酸和糖精钠的测定》、食品检验工国家职业标准等）。</w:t>
      </w:r>
    </w:p>
    <w:p>
      <w:pPr>
        <w:adjustRightInd w:val="0"/>
        <w:snapToGrid w:val="0"/>
        <w:spacing w:line="580" w:lineRule="exact"/>
        <w:ind w:firstLine="630" w:firstLineChars="196"/>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（二）其他技术文件资料</w:t>
      </w:r>
    </w:p>
    <w:p>
      <w:pPr>
        <w:adjustRightInd w:val="0"/>
        <w:snapToGrid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包括实验操作指南、物料清单等。资料将在报名结束后提前通过邮件发放给参赛选手。</w:t>
      </w:r>
    </w:p>
    <w:p>
      <w:pPr>
        <w:ind w:firstLine="640" w:firstLineChars="200"/>
        <w:outlineLvl w:val="1"/>
        <w:rPr>
          <w:rFonts w:hint="eastAsia" w:ascii="黑体" w:hAnsi="黑体" w:eastAsia="黑体" w:cs="黑体"/>
          <w:bCs/>
          <w:sz w:val="32"/>
          <w:szCs w:val="32"/>
        </w:rPr>
      </w:pPr>
      <w:r>
        <w:rPr>
          <w:rFonts w:hint="eastAsia" w:ascii="黑体" w:hAnsi="黑体" w:eastAsia="黑体" w:cs="黑体"/>
          <w:bCs/>
          <w:sz w:val="32"/>
          <w:szCs w:val="32"/>
        </w:rPr>
        <w:t>十、申诉与仲裁</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（一）参赛选手认为赛场提供的设备、工具不符合规定的或工作人员存在违规行为的，均可提出申诉。</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现场申诉最迟应在竞赛结束后1小时内提出，超过时效将不予受理。申诉时，应以书面形式向申诉受理组提出，技术问题由裁判长与裁判员共同商议解决；非技术问题由执委会办公室进行调查、核实、裁决。</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（三）执委会办公室对违规行为做出的裁决为最终裁决。参赛选手不得因对仲裁处理意见不服而停止比赛或滋事，否则按弃权处理。</w:t>
      </w:r>
    </w:p>
    <w:p>
      <w:pPr>
        <w:ind w:firstLine="640" w:firstLineChars="200"/>
        <w:outlineLvl w:val="1"/>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（四）如竞赛出现不可预见的异常情况，由执委会办公室与执委会商议后，做出处理决定。</w:t>
      </w:r>
    </w:p>
    <w:p>
      <w:pPr>
        <w:tabs>
          <w:tab w:val="left" w:pos="7770"/>
        </w:tabs>
        <w:spacing w:line="600" w:lineRule="exact"/>
        <w:ind w:right="-20"/>
        <w:outlineLvl w:val="0"/>
        <w:rPr>
          <w:rFonts w:hint="eastAsia" w:ascii="宋体" w:hAnsi="宋体" w:cs="黑体"/>
          <w:sz w:val="28"/>
          <w:szCs w:val="28"/>
        </w:rPr>
      </w:pPr>
      <w:r>
        <w:rPr>
          <w:rFonts w:hint="eastAsia" w:ascii="宋体" w:hAnsi="宋体" w:cs="华文中宋"/>
          <w:sz w:val="32"/>
          <w:szCs w:val="32"/>
        </w:rPr>
        <w:br w:type="page"/>
      </w:r>
      <w:r>
        <w:rPr>
          <w:rFonts w:hint="eastAsia" w:ascii="宋体" w:hAnsi="宋体" w:cs="黑体"/>
          <w:b/>
          <w:bCs/>
          <w:sz w:val="32"/>
          <w:szCs w:val="32"/>
        </w:rPr>
        <w:t>表1</w:t>
      </w:r>
      <w:r>
        <w:rPr>
          <w:rFonts w:hint="eastAsia" w:ascii="宋体" w:hAnsi="宋体" w:cs="黑体"/>
          <w:sz w:val="28"/>
          <w:szCs w:val="28"/>
        </w:rPr>
        <w:t xml:space="preserve">  </w:t>
      </w:r>
    </w:p>
    <w:p>
      <w:pPr>
        <w:tabs>
          <w:tab w:val="left" w:pos="7770"/>
        </w:tabs>
        <w:spacing w:line="600" w:lineRule="exact"/>
        <w:ind w:right="-20" w:firstLine="640" w:firstLineChars="200"/>
        <w:outlineLvl w:val="0"/>
        <w:rPr>
          <w:rFonts w:ascii="宋体" w:hAnsi="宋体" w:cs="华文中宋"/>
          <w:sz w:val="32"/>
          <w:szCs w:val="32"/>
        </w:rPr>
      </w:pPr>
      <w:r>
        <w:rPr>
          <w:rFonts w:hint="eastAsia" w:ascii="宋体" w:hAnsi="宋体" w:cs="黑体"/>
          <w:sz w:val="32"/>
          <w:szCs w:val="32"/>
        </w:rPr>
        <w:t>2021年深圳技能大赛--食品检验职业技能竞赛报名表</w:t>
      </w:r>
    </w:p>
    <w:p>
      <w:pPr>
        <w:widowControl/>
        <w:adjustRightInd w:val="0"/>
        <w:spacing w:line="560" w:lineRule="exact"/>
        <w:jc w:val="center"/>
        <w:outlineLvl w:val="0"/>
        <w:rPr>
          <w:rFonts w:ascii="宋体" w:hAnsi="宋体"/>
          <w:sz w:val="28"/>
          <w:szCs w:val="32"/>
        </w:rPr>
      </w:pPr>
      <w:r>
        <w:rPr>
          <w:rFonts w:hint="eastAsia" w:ascii="宋体" w:hAnsi="宋体"/>
          <w:sz w:val="28"/>
          <w:szCs w:val="32"/>
        </w:rPr>
        <w:t>（以报名系统自动生成表格为准）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544"/>
        <w:gridCol w:w="1065"/>
        <w:gridCol w:w="1080"/>
        <w:gridCol w:w="1215"/>
        <w:gridCol w:w="150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姓    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出生日期</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47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照片</w:t>
            </w:r>
          </w:p>
          <w:p>
            <w:pPr>
              <w:spacing w:line="300" w:lineRule="exact"/>
              <w:jc w:val="center"/>
              <w:rPr>
                <w:rFonts w:ascii="宋体" w:hAnsi="宋体"/>
                <w:szCs w:val="21"/>
              </w:rPr>
            </w:pPr>
            <w:r>
              <w:rPr>
                <w:rFonts w:hint="eastAsia" w:ascii="宋体" w:hAnsi="宋体"/>
                <w:szCs w:val="21"/>
              </w:rPr>
              <w:t>粘贴处</w:t>
            </w:r>
          </w:p>
          <w:p>
            <w:pPr>
              <w:spacing w:line="300" w:lineRule="exact"/>
              <w:jc w:val="center"/>
              <w:rPr>
                <w:rFonts w:ascii="宋体" w:hAnsi="宋体"/>
                <w:szCs w:val="21"/>
              </w:rPr>
            </w:pPr>
          </w:p>
          <w:p>
            <w:pPr>
              <w:spacing w:line="300" w:lineRule="exact"/>
              <w:jc w:val="center"/>
              <w:rPr>
                <w:rFonts w:ascii="宋体" w:hAnsi="宋体"/>
                <w:szCs w:val="21"/>
              </w:rPr>
            </w:pPr>
            <w:r>
              <w:rPr>
                <w:rFonts w:hint="eastAsia" w:ascii="宋体" w:hAnsi="宋体"/>
                <w:szCs w:val="21"/>
              </w:rPr>
              <w:t>此处贴一张，其余的用袋子装订在报名表上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身份证号</w:t>
            </w:r>
          </w:p>
        </w:tc>
        <w:tc>
          <w:tcPr>
            <w:tcW w:w="640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470" w:type="dxa"/>
            <w:vMerge w:val="continue"/>
            <w:tcBorders>
              <w:left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工作单位</w:t>
            </w:r>
          </w:p>
        </w:tc>
        <w:tc>
          <w:tcPr>
            <w:tcW w:w="640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470" w:type="dxa"/>
            <w:vMerge w:val="continue"/>
            <w:tcBorders>
              <w:left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通讯地址</w:t>
            </w:r>
          </w:p>
        </w:tc>
        <w:tc>
          <w:tcPr>
            <w:tcW w:w="640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470" w:type="dxa"/>
            <w:vMerge w:val="continue"/>
            <w:tcBorders>
              <w:left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手机号码</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21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单位电话</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c>
          <w:tcPr>
            <w:tcW w:w="147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户口所在地</w:t>
            </w:r>
          </w:p>
        </w:tc>
        <w:tc>
          <w:tcPr>
            <w:tcW w:w="3689" w:type="dxa"/>
            <w:gridSpan w:val="3"/>
            <w:tcBorders>
              <w:top w:val="single" w:color="auto" w:sz="4" w:space="0"/>
              <w:left w:val="single" w:color="auto" w:sz="4" w:space="0"/>
              <w:bottom w:val="single" w:color="auto" w:sz="4" w:space="0"/>
              <w:right w:val="single" w:color="auto" w:sz="4" w:space="0"/>
            </w:tcBorders>
            <w:noWrap w:val="0"/>
            <w:vAlign w:val="center"/>
          </w:tcPr>
          <w:p>
            <w:pPr>
              <w:pStyle w:val="7"/>
              <w:numPr>
                <w:ilvl w:val="0"/>
                <w:numId w:val="1"/>
              </w:numPr>
              <w:spacing w:line="300" w:lineRule="exact"/>
              <w:ind w:firstLineChars="0"/>
              <w:rPr>
                <w:rFonts w:ascii="宋体" w:hAnsi="宋体"/>
              </w:rPr>
            </w:pPr>
            <w:r>
              <w:rPr>
                <w:rFonts w:hint="eastAsia" w:ascii="宋体" w:hAnsi="宋体"/>
              </w:rPr>
              <w:t>本 市  □ 本 省   □ 省 外</w:t>
            </w:r>
          </w:p>
        </w:tc>
        <w:tc>
          <w:tcPr>
            <w:tcW w:w="27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pacing w:val="-4"/>
                <w:szCs w:val="21"/>
              </w:rPr>
            </w:pPr>
            <w:r>
              <w:rPr>
                <w:rFonts w:hint="eastAsia" w:ascii="宋体" w:hAnsi="宋体"/>
                <w:spacing w:val="-4"/>
                <w:szCs w:val="21"/>
              </w:rPr>
              <w:t>本工种工龄</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文 化</w:t>
            </w:r>
          </w:p>
          <w:p>
            <w:pPr>
              <w:spacing w:line="300" w:lineRule="exact"/>
              <w:jc w:val="center"/>
              <w:rPr>
                <w:rFonts w:ascii="宋体" w:hAnsi="宋体"/>
                <w:szCs w:val="21"/>
              </w:rPr>
            </w:pPr>
            <w:r>
              <w:rPr>
                <w:rFonts w:hint="eastAsia" w:ascii="宋体" w:hAnsi="宋体"/>
                <w:szCs w:val="21"/>
              </w:rPr>
              <w:t>程 度</w:t>
            </w:r>
          </w:p>
        </w:tc>
        <w:tc>
          <w:tcPr>
            <w:tcW w:w="787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Cs w:val="21"/>
              </w:rPr>
            </w:pPr>
            <w:r>
              <w:rPr>
                <w:rFonts w:hint="eastAsia" w:ascii="宋体" w:hAnsi="宋体"/>
                <w:szCs w:val="21"/>
              </w:rPr>
              <w:t xml:space="preserve">□ 小学  □ 初中  □ 高中  □ 中技    □ 中专  □ 职高  </w:t>
            </w:r>
          </w:p>
          <w:p>
            <w:pPr>
              <w:spacing w:line="300" w:lineRule="exact"/>
              <w:rPr>
                <w:rFonts w:ascii="宋体" w:hAnsi="宋体"/>
                <w:szCs w:val="21"/>
              </w:rPr>
            </w:pPr>
            <w:r>
              <w:rPr>
                <w:rFonts w:hint="eastAsia" w:ascii="宋体" w:hAnsi="宋体"/>
                <w:szCs w:val="21"/>
              </w:rPr>
              <w:t>□ 高技  □ 大专  □ 本科  □ 研究生  □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竞赛工种</w:t>
            </w:r>
          </w:p>
          <w:p>
            <w:pPr>
              <w:spacing w:line="300" w:lineRule="exact"/>
              <w:jc w:val="center"/>
              <w:rPr>
                <w:rFonts w:ascii="宋体" w:hAnsi="宋体"/>
                <w:szCs w:val="21"/>
              </w:rPr>
            </w:pPr>
            <w:r>
              <w:rPr>
                <w:rFonts w:hint="eastAsia" w:ascii="宋体" w:hAnsi="宋体"/>
                <w:szCs w:val="21"/>
              </w:rPr>
              <w:t>（项目）</w:t>
            </w:r>
          </w:p>
        </w:tc>
        <w:tc>
          <w:tcPr>
            <w:tcW w:w="7874"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122"/>
              </w:tabs>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Cs w:val="21"/>
              </w:rPr>
            </w:pPr>
            <w:r>
              <w:rPr>
                <w:rFonts w:hint="eastAsia" w:ascii="宋体" w:hAnsi="宋体"/>
                <w:szCs w:val="21"/>
              </w:rPr>
              <w:t>现有资格</w:t>
            </w:r>
          </w:p>
          <w:p>
            <w:pPr>
              <w:spacing w:line="300" w:lineRule="exact"/>
              <w:jc w:val="center"/>
              <w:rPr>
                <w:rFonts w:ascii="宋体" w:hAnsi="宋体"/>
                <w:szCs w:val="21"/>
              </w:rPr>
            </w:pPr>
            <w:r>
              <w:rPr>
                <w:rFonts w:hint="eastAsia" w:ascii="宋体" w:hAnsi="宋体"/>
                <w:szCs w:val="21"/>
              </w:rPr>
              <w:t>等级证书</w:t>
            </w:r>
          </w:p>
        </w:tc>
        <w:tc>
          <w:tcPr>
            <w:tcW w:w="7874" w:type="dxa"/>
            <w:gridSpan w:val="6"/>
            <w:tcBorders>
              <w:top w:val="single" w:color="auto" w:sz="4" w:space="0"/>
              <w:left w:val="single" w:color="auto" w:sz="4" w:space="0"/>
              <w:bottom w:val="single" w:color="auto" w:sz="4" w:space="0"/>
              <w:right w:val="single" w:color="auto" w:sz="4" w:space="0"/>
            </w:tcBorders>
            <w:noWrap w:val="0"/>
            <w:vAlign w:val="center"/>
          </w:tcPr>
          <w:p>
            <w:pPr>
              <w:pStyle w:val="7"/>
              <w:tabs>
                <w:tab w:val="left" w:pos="184"/>
                <w:tab w:val="left" w:pos="2742"/>
              </w:tabs>
              <w:spacing w:line="300" w:lineRule="exact"/>
              <w:ind w:firstLine="0" w:firstLineChars="0"/>
              <w:rPr>
                <w:rFonts w:ascii="宋体" w:hAnsi="宋体"/>
              </w:rPr>
            </w:pPr>
            <w:r>
              <w:rPr>
                <w:rFonts w:hint="eastAsia" w:ascii="宋体" w:hAnsi="宋体"/>
              </w:rPr>
              <w:t xml:space="preserve">□ 初级工（五级）     □ 中级工  （四级）    □ 高级工（三级） </w:t>
            </w:r>
          </w:p>
          <w:p>
            <w:pPr>
              <w:pStyle w:val="7"/>
              <w:tabs>
                <w:tab w:val="left" w:pos="184"/>
                <w:tab w:val="left" w:pos="2742"/>
              </w:tabs>
              <w:spacing w:line="300" w:lineRule="exact"/>
              <w:ind w:firstLine="0" w:firstLineChars="0"/>
              <w:rPr>
                <w:rFonts w:ascii="宋体" w:hAnsi="宋体"/>
              </w:rPr>
            </w:pPr>
            <w:r>
              <w:rPr>
                <w:rFonts w:hint="eastAsia" w:ascii="宋体" w:hAnsi="宋体"/>
              </w:rPr>
              <w:t>□ 技  师（二级）     □ 高级技师（一级）    □ 无等级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个</w:t>
            </w:r>
          </w:p>
          <w:p>
            <w:pPr>
              <w:spacing w:line="400" w:lineRule="exact"/>
              <w:jc w:val="center"/>
              <w:rPr>
                <w:rFonts w:ascii="宋体" w:hAnsi="宋体"/>
                <w:szCs w:val="21"/>
              </w:rPr>
            </w:pPr>
            <w:r>
              <w:rPr>
                <w:rFonts w:hint="eastAsia" w:ascii="宋体" w:hAnsi="宋体"/>
                <w:szCs w:val="21"/>
              </w:rPr>
              <w:t>人</w:t>
            </w:r>
          </w:p>
          <w:p>
            <w:pPr>
              <w:spacing w:line="400" w:lineRule="exact"/>
              <w:jc w:val="center"/>
              <w:rPr>
                <w:rFonts w:ascii="宋体" w:hAnsi="宋体"/>
                <w:szCs w:val="21"/>
              </w:rPr>
            </w:pPr>
            <w:r>
              <w:rPr>
                <w:rFonts w:hint="eastAsia" w:ascii="宋体" w:hAnsi="宋体"/>
                <w:szCs w:val="21"/>
              </w:rPr>
              <w:t>简</w:t>
            </w:r>
          </w:p>
          <w:p>
            <w:pPr>
              <w:spacing w:line="400" w:lineRule="exact"/>
              <w:jc w:val="center"/>
              <w:rPr>
                <w:rFonts w:ascii="宋体" w:hAnsi="宋体"/>
                <w:szCs w:val="21"/>
              </w:rPr>
            </w:pPr>
            <w:r>
              <w:rPr>
                <w:rFonts w:hint="eastAsia" w:ascii="宋体" w:hAnsi="宋体"/>
                <w:szCs w:val="21"/>
              </w:rPr>
              <w:t>历</w:t>
            </w:r>
          </w:p>
        </w:tc>
        <w:tc>
          <w:tcPr>
            <w:tcW w:w="7874" w:type="dxa"/>
            <w:gridSpan w:val="6"/>
            <w:tcBorders>
              <w:top w:val="single" w:color="auto" w:sz="4" w:space="0"/>
              <w:left w:val="single" w:color="auto" w:sz="4" w:space="0"/>
              <w:bottom w:val="single" w:color="auto" w:sz="4" w:space="0"/>
              <w:right w:val="single" w:color="auto" w:sz="4" w:space="0"/>
            </w:tcBorders>
            <w:noWrap w:val="0"/>
            <w:vAlign w:val="center"/>
          </w:tcPr>
          <w:p>
            <w:pPr>
              <w:pStyle w:val="7"/>
              <w:tabs>
                <w:tab w:val="left" w:pos="184"/>
                <w:tab w:val="left" w:pos="2742"/>
              </w:tabs>
              <w:spacing w:line="560" w:lineRule="exact"/>
              <w:ind w:left="360" w:firstLine="0" w:firstLineChars="0"/>
              <w:rPr>
                <w:rFonts w:ascii="宋体" w:hAnsi="宋体"/>
              </w:rPr>
            </w:pPr>
          </w:p>
          <w:p>
            <w:pPr>
              <w:pStyle w:val="7"/>
              <w:tabs>
                <w:tab w:val="left" w:pos="184"/>
                <w:tab w:val="left" w:pos="2742"/>
              </w:tabs>
              <w:spacing w:line="560" w:lineRule="exact"/>
              <w:ind w:left="360"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本</w:t>
            </w:r>
          </w:p>
          <w:p>
            <w:pPr>
              <w:spacing w:line="400" w:lineRule="exact"/>
              <w:jc w:val="center"/>
              <w:rPr>
                <w:rFonts w:ascii="宋体" w:hAnsi="宋体"/>
                <w:szCs w:val="21"/>
              </w:rPr>
            </w:pPr>
            <w:r>
              <w:rPr>
                <w:rFonts w:hint="eastAsia" w:ascii="宋体" w:hAnsi="宋体"/>
                <w:szCs w:val="21"/>
              </w:rPr>
              <w:t>人</w:t>
            </w:r>
          </w:p>
          <w:p>
            <w:pPr>
              <w:spacing w:line="400" w:lineRule="exact"/>
              <w:jc w:val="center"/>
              <w:rPr>
                <w:rFonts w:ascii="宋体" w:hAnsi="宋体"/>
                <w:szCs w:val="21"/>
              </w:rPr>
            </w:pPr>
            <w:r>
              <w:rPr>
                <w:rFonts w:hint="eastAsia" w:ascii="宋体" w:hAnsi="宋体"/>
                <w:szCs w:val="21"/>
              </w:rPr>
              <w:t>承</w:t>
            </w:r>
          </w:p>
          <w:p>
            <w:pPr>
              <w:spacing w:line="400" w:lineRule="exact"/>
              <w:jc w:val="center"/>
              <w:rPr>
                <w:rFonts w:ascii="宋体" w:hAnsi="宋体"/>
                <w:szCs w:val="21"/>
              </w:rPr>
            </w:pPr>
            <w:r>
              <w:rPr>
                <w:rFonts w:hint="eastAsia" w:ascii="宋体" w:hAnsi="宋体"/>
                <w:szCs w:val="21"/>
              </w:rPr>
              <w:t>诺</w:t>
            </w:r>
          </w:p>
        </w:tc>
        <w:tc>
          <w:tcPr>
            <w:tcW w:w="7874" w:type="dxa"/>
            <w:gridSpan w:val="6"/>
            <w:tcBorders>
              <w:top w:val="single" w:color="auto" w:sz="4" w:space="0"/>
              <w:left w:val="single" w:color="auto" w:sz="4" w:space="0"/>
              <w:bottom w:val="single" w:color="auto" w:sz="4" w:space="0"/>
              <w:right w:val="single" w:color="auto" w:sz="4" w:space="0"/>
            </w:tcBorders>
            <w:noWrap w:val="0"/>
            <w:vAlign w:val="top"/>
          </w:tcPr>
          <w:p>
            <w:pPr>
              <w:pStyle w:val="7"/>
              <w:tabs>
                <w:tab w:val="left" w:pos="184"/>
                <w:tab w:val="left" w:pos="2742"/>
              </w:tabs>
              <w:spacing w:line="400" w:lineRule="exact"/>
              <w:rPr>
                <w:rFonts w:ascii="宋体" w:hAnsi="宋体"/>
              </w:rPr>
            </w:pPr>
            <w:r>
              <w:rPr>
                <w:rFonts w:hint="eastAsia" w:ascii="宋体" w:hAnsi="宋体"/>
              </w:rPr>
              <w:t>本人承诺报名表所填内容均真实有效，表格填报单位与社保缴纳单位一致，如有虚假，愿意接受取消竞赛资格的处理。</w:t>
            </w:r>
          </w:p>
          <w:p>
            <w:pPr>
              <w:pStyle w:val="7"/>
              <w:tabs>
                <w:tab w:val="left" w:pos="184"/>
                <w:tab w:val="left" w:pos="2742"/>
              </w:tabs>
              <w:spacing w:line="560" w:lineRule="exact"/>
              <w:ind w:firstLine="4200" w:firstLineChars="2000"/>
              <w:rPr>
                <w:rFonts w:ascii="宋体" w:hAnsi="宋体"/>
              </w:rPr>
            </w:pPr>
            <w:r>
              <w:rPr>
                <w:rFonts w:hint="eastAsia" w:ascii="宋体" w:hAnsi="宋体"/>
              </w:rPr>
              <w:t xml:space="preserve">签名：               </w:t>
            </w:r>
          </w:p>
          <w:p>
            <w:pPr>
              <w:pStyle w:val="7"/>
              <w:tabs>
                <w:tab w:val="left" w:pos="184"/>
                <w:tab w:val="left" w:pos="2742"/>
              </w:tabs>
              <w:spacing w:line="560" w:lineRule="exact"/>
              <w:ind w:firstLine="0" w:firstLineChars="0"/>
              <w:rPr>
                <w:rFonts w:ascii="宋体" w:hAnsi="宋体"/>
              </w:rPr>
            </w:pPr>
            <w:r>
              <w:rPr>
                <w:rFonts w:hint="eastAsia" w:ascii="宋体" w:hAnsi="宋体"/>
              </w:rPr>
              <w:t xml:space="preserve">                                               年    月    日</w:t>
            </w:r>
          </w:p>
          <w:p>
            <w:pPr>
              <w:pStyle w:val="7"/>
              <w:tabs>
                <w:tab w:val="left" w:pos="184"/>
                <w:tab w:val="left" w:pos="2742"/>
              </w:tabs>
              <w:spacing w:line="560" w:lineRule="exact"/>
              <w:ind w:firstLine="0" w:firstLineChars="0"/>
              <w:rPr>
                <w:rFonts w:ascii="宋体" w:hAnsi="宋体"/>
              </w:rPr>
            </w:pPr>
          </w:p>
          <w:p>
            <w:pPr>
              <w:pStyle w:val="7"/>
              <w:tabs>
                <w:tab w:val="left" w:pos="184"/>
                <w:tab w:val="left" w:pos="2742"/>
              </w:tabs>
              <w:spacing w:line="560" w:lineRule="exact"/>
              <w:ind w:firstLine="0" w:firstLineChars="0"/>
              <w:rPr>
                <w:rFonts w:ascii="宋体" w:hAnsi="宋体"/>
              </w:rPr>
            </w:pPr>
          </w:p>
          <w:p>
            <w:pPr>
              <w:pStyle w:val="7"/>
              <w:tabs>
                <w:tab w:val="left" w:pos="184"/>
                <w:tab w:val="left" w:pos="2742"/>
              </w:tabs>
              <w:spacing w:line="560" w:lineRule="exact"/>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Cs w:val="21"/>
              </w:rPr>
            </w:pPr>
            <w:r>
              <w:rPr>
                <w:rFonts w:hint="eastAsia" w:ascii="宋体" w:hAnsi="宋体"/>
                <w:szCs w:val="21"/>
              </w:rPr>
              <w:t>单位意见</w:t>
            </w:r>
          </w:p>
          <w:p>
            <w:pPr>
              <w:spacing w:line="560" w:lineRule="exact"/>
              <w:jc w:val="center"/>
              <w:rPr>
                <w:rFonts w:ascii="宋体" w:hAnsi="宋体"/>
                <w:szCs w:val="21"/>
              </w:rPr>
            </w:pPr>
            <w:r>
              <w:rPr>
                <w:rFonts w:hint="eastAsia" w:ascii="宋体" w:hAnsi="宋体"/>
                <w:szCs w:val="21"/>
              </w:rPr>
              <w:t>（盖章）</w:t>
            </w:r>
          </w:p>
        </w:tc>
        <w:tc>
          <w:tcPr>
            <w:tcW w:w="7874" w:type="dxa"/>
            <w:gridSpan w:val="6"/>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exac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Cs w:val="21"/>
              </w:rPr>
            </w:pPr>
            <w:r>
              <w:rPr>
                <w:rFonts w:hint="eastAsia" w:ascii="宋体" w:hAnsi="宋体"/>
                <w:szCs w:val="21"/>
              </w:rPr>
              <w:t>注意事项</w:t>
            </w:r>
          </w:p>
        </w:tc>
        <w:tc>
          <w:tcPr>
            <w:tcW w:w="7874" w:type="dxa"/>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1.身份证复印件（正反面）1份附在此表后面。</w:t>
            </w:r>
          </w:p>
          <w:p>
            <w:pPr>
              <w:rPr>
                <w:rFonts w:ascii="宋体" w:hAnsi="宋体"/>
                <w:szCs w:val="21"/>
              </w:rPr>
            </w:pPr>
            <w:r>
              <w:rPr>
                <w:rFonts w:hint="eastAsia" w:ascii="宋体" w:hAnsi="宋体"/>
                <w:szCs w:val="21"/>
              </w:rPr>
              <w:t>2.照片规格数量见竞赛实施方案要求。</w:t>
            </w:r>
          </w:p>
          <w:p>
            <w:pPr>
              <w:rPr>
                <w:rFonts w:ascii="宋体" w:hAnsi="宋体"/>
                <w:szCs w:val="21"/>
              </w:rPr>
            </w:pPr>
            <w:r>
              <w:rPr>
                <w:rFonts w:hint="eastAsia" w:ascii="宋体" w:hAnsi="宋体"/>
                <w:szCs w:val="21"/>
              </w:rPr>
              <w:t>3.其他所需资料按实施方案要求附在此表后面。</w:t>
            </w:r>
          </w:p>
          <w:p>
            <w:pPr>
              <w:widowControl/>
              <w:jc w:val="left"/>
              <w:rPr>
                <w:rFonts w:ascii="宋体" w:hAnsi="宋体"/>
                <w:szCs w:val="21"/>
              </w:rPr>
            </w:pPr>
          </w:p>
        </w:tc>
      </w:tr>
    </w:tbl>
    <w:p>
      <w:pPr>
        <w:rPr>
          <w:rFonts w:hint="eastAsia" w:ascii="仿宋_GB2312" w:hAnsi="仿宋_GB2312" w:eastAsia="仿宋_GB2312" w:cs="仿宋_GB2312"/>
          <w:kern w:val="0"/>
          <w:sz w:val="32"/>
          <w:szCs w:val="32"/>
        </w:rPr>
      </w:pPr>
      <w:bookmarkStart w:id="12" w:name="_GoBack"/>
      <w:bookmarkEnd w:id="12"/>
    </w:p>
    <w:sectPr>
      <w:pgSz w:w="11906" w:h="16838"/>
      <w:pgMar w:top="1757" w:right="153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A7CAC"/>
    <w:multiLevelType w:val="multilevel"/>
    <w:tmpl w:val="694A7CAC"/>
    <w:lvl w:ilvl="0" w:tentative="0">
      <w:start w:val="1"/>
      <w:numFmt w:val="bullet"/>
      <w:lvlText w:val="□"/>
      <w:lvlJc w:val="left"/>
      <w:pPr>
        <w:ind w:left="3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728BE"/>
    <w:rsid w:val="16C728BE"/>
    <w:rsid w:val="2413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Hyperlink"/>
    <w:unhideWhenUsed/>
    <w:qFormat/>
    <w:uiPriority w:val="0"/>
    <w:rPr>
      <w:color w:val="0000FF"/>
      <w:u w:val="single"/>
    </w:rPr>
  </w:style>
  <w:style w:type="paragraph" w:customStyle="1" w:styleId="6">
    <w:name w:val="列出段落1"/>
    <w:basedOn w:val="1"/>
    <w:qFormat/>
    <w:uiPriority w:val="34"/>
    <w:pPr>
      <w:ind w:firstLine="420" w:firstLineChars="200"/>
    </w:pPr>
    <w:rPr>
      <w:rFonts w:ascii="Calibri" w:hAnsi="Calibri"/>
    </w:rPr>
  </w:style>
  <w:style w:type="paragraph" w:styleId="7">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2021-07-30T08:04:00Z</dcterms:created>
  <dc:creator>Healer</dc:creator>
  <cp:lastModifiedBy>Healer</cp:lastModifiedBy>
  <dcterms:modified xsi:type="dcterms:W3CDTF">2021-07-30T08:11:20Z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595F59BD78864201889FCE7052715F2C</vt:lpwstr>
  </property>
</Properties>
</file>