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both"/>
        <w:rPr>
          <w:rFonts w:hint="eastAsia"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w:t>
      </w:r>
      <w:r>
        <w:rPr>
          <w:rFonts w:hint="eastAsia" w:ascii="仿宋_GB2312" w:hAnsi="仿宋"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spacing w:line="560" w:lineRule="exact"/>
        <w:ind w:firstLine="643" w:firstLineChars="200"/>
        <w:rPr>
          <w:rFonts w:ascii="楷体_GB2312" w:hAnsi="楷体" w:eastAsia="楷体_GB2312" w:cs="楷体"/>
          <w:b/>
          <w:bCs/>
          <w:sz w:val="32"/>
          <w:szCs w:val="32"/>
          <w:shd w:val="clear" w:color="auto" w:fill="FFFFFF"/>
        </w:rPr>
      </w:pPr>
      <w:r>
        <w:rPr>
          <w:rFonts w:hint="eastAsia" w:ascii="楷体_GB2312" w:hAnsi="楷体" w:eastAsia="楷体_GB2312" w:cs="楷体"/>
          <w:b/>
          <w:bCs/>
          <w:sz w:val="32"/>
          <w:szCs w:val="32"/>
          <w:shd w:val="clear" w:color="auto" w:fill="FFFFFF"/>
        </w:rPr>
        <w:t>（</w:t>
      </w:r>
      <w:r>
        <w:rPr>
          <w:rFonts w:hint="eastAsia" w:ascii="楷体_GB2312" w:hAnsi="楷体" w:eastAsia="楷体_GB2312" w:cs="楷体"/>
          <w:b/>
          <w:bCs/>
          <w:sz w:val="32"/>
          <w:szCs w:val="32"/>
          <w:shd w:val="clear" w:color="auto" w:fill="FFFFFF"/>
          <w:lang w:eastAsia="zh-CN"/>
        </w:rPr>
        <w:t>二</w:t>
      </w:r>
      <w:r>
        <w:rPr>
          <w:rFonts w:hint="eastAsia" w:ascii="楷体_GB2312" w:hAnsi="楷体" w:eastAsia="楷体_GB2312" w:cs="楷体"/>
          <w:b/>
          <w:bCs/>
          <w:sz w:val="32"/>
          <w:szCs w:val="32"/>
          <w:shd w:val="clear" w:color="auto" w:fill="FFFFFF"/>
        </w:rPr>
        <w:t>）4-氯苯氧乙酸钠</w:t>
      </w:r>
    </w:p>
    <w:p>
      <w:pPr>
        <w:spacing w:line="560" w:lineRule="exact"/>
        <w:ind w:firstLine="645"/>
        <w:rPr>
          <w:rFonts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w:t>
      </w:r>
      <w:r>
        <w:rPr>
          <w:rFonts w:hint="eastAsia" w:ascii="仿宋_GB2312" w:hAnsi="仿宋" w:eastAsia="仿宋_GB2312" w:cs="Arial"/>
          <w:color w:val="auto"/>
          <w:sz w:val="32"/>
          <w:szCs w:val="32"/>
          <w:shd w:val="clear" w:color="auto" w:fill="FFFFFF"/>
        </w:rPr>
        <w:t>国家已</w:t>
      </w:r>
      <w:r>
        <w:rPr>
          <w:rFonts w:hint="eastAsia" w:ascii="仿宋_GB2312" w:hAnsi="仿宋" w:eastAsia="仿宋_GB2312" w:cs="Arial"/>
          <w:sz w:val="32"/>
          <w:szCs w:val="32"/>
          <w:shd w:val="clear" w:color="auto" w:fill="FFFFFF"/>
        </w:rPr>
        <w:t>取消其作为食品添加剂的生产许可申请。</w:t>
      </w:r>
      <w:r>
        <w:rPr>
          <w:rFonts w:hint="eastAsia" w:ascii="仿宋_GB2312" w:hAnsi="仿宋" w:eastAsia="仿宋_GB2312"/>
          <w:sz w:val="32"/>
          <w:szCs w:val="32"/>
        </w:rPr>
        <w:t>《关于豆芽生产过程中禁止使</w:t>
      </w:r>
      <w:r>
        <w:rPr>
          <w:rFonts w:hint="eastAsia" w:ascii="仿宋_GB2312" w:hAnsi="仿宋" w:eastAsia="仿宋_GB2312"/>
          <w:color w:val="auto"/>
          <w:sz w:val="32"/>
          <w:szCs w:val="32"/>
        </w:rPr>
        <w:t>用6-苄基腺嘌呤等物质</w:t>
      </w:r>
      <w:r>
        <w:rPr>
          <w:rFonts w:hint="eastAsia" w:ascii="仿宋_GB2312" w:hAnsi="仿宋" w:eastAsia="仿宋_GB2312"/>
          <w:sz w:val="32"/>
          <w:szCs w:val="32"/>
        </w:rPr>
        <w:t>的公告》</w:t>
      </w:r>
      <w:r>
        <w:rPr>
          <w:rFonts w:hint="eastAsia" w:ascii="仿宋_GB2312" w:hAnsi="仿宋" w:eastAsia="仿宋_GB2312" w:cs="宋体"/>
          <w:kern w:val="0"/>
          <w:sz w:val="32"/>
          <w:szCs w:val="32"/>
          <w:lang w:val="zh-CN"/>
        </w:rPr>
        <w:t>(</w:t>
      </w:r>
      <w:r>
        <w:rPr>
          <w:rFonts w:hint="eastAsia" w:ascii="仿宋_GB2312" w:hAnsi="仿宋" w:eastAsia="仿宋_GB2312"/>
          <w:sz w:val="32"/>
          <w:szCs w:val="32"/>
        </w:rPr>
        <w:t>国家食品药品监督管理总局、农业部、国家卫生和计划生育委员会公告 2015 年第 11 号</w:t>
      </w:r>
      <w:r>
        <w:rPr>
          <w:rFonts w:hint="eastAsia" w:ascii="仿宋_GB2312" w:hAnsi="仿宋" w:eastAsia="仿宋_GB2312" w:cs="宋体"/>
          <w:kern w:val="0"/>
          <w:sz w:val="32"/>
          <w:szCs w:val="32"/>
          <w:lang w:val="zh-CN"/>
        </w:rPr>
        <w:t>)</w:t>
      </w:r>
      <w:r>
        <w:rPr>
          <w:rFonts w:hint="eastAsia" w:ascii="仿宋_GB2312" w:hAnsi="仿宋" w:eastAsia="仿宋_GB2312" w:cs="宋体"/>
          <w:sz w:val="32"/>
          <w:szCs w:val="32"/>
        </w:rPr>
        <w:t>中要求，</w:t>
      </w:r>
      <w:r>
        <w:rPr>
          <w:rFonts w:hint="eastAsia" w:ascii="仿宋_GB2312" w:hAnsi="仿宋" w:eastAsia="仿宋_GB2312" w:cs="Arial"/>
          <w:sz w:val="32"/>
          <w:szCs w:val="32"/>
          <w:shd w:val="clear" w:color="auto" w:fill="FFFFFF"/>
        </w:rPr>
        <w:t>豆芽中不得检出4-氯苯氧乙酸</w:t>
      </w:r>
      <w:r>
        <w:rPr>
          <w:rFonts w:hint="eastAsia" w:ascii="仿宋_GB2312" w:hAnsi="仿宋" w:cs="Arial"/>
          <w:sz w:val="32"/>
          <w:szCs w:val="32"/>
          <w:shd w:val="clear" w:color="auto" w:fill="FFFFFF"/>
          <w:lang w:eastAsia="zh-CN"/>
        </w:rPr>
        <w:t>钠</w:t>
      </w:r>
      <w:r>
        <w:rPr>
          <w:rFonts w:hint="eastAsia" w:ascii="仿宋_GB2312" w:hAnsi="仿宋" w:eastAsia="仿宋_GB2312" w:cs="Arial"/>
          <w:sz w:val="32"/>
          <w:szCs w:val="32"/>
          <w:shd w:val="clear" w:color="auto" w:fill="FFFFFF"/>
        </w:rPr>
        <w:t>。豆芽作为一种食用量</w:t>
      </w:r>
      <w:bookmarkStart w:id="0" w:name="_GoBack"/>
      <w:bookmarkEnd w:id="0"/>
      <w:r>
        <w:rPr>
          <w:rFonts w:hint="eastAsia" w:ascii="仿宋_GB2312" w:hAnsi="仿宋" w:eastAsia="仿宋_GB2312" w:cs="Arial"/>
          <w:sz w:val="32"/>
          <w:szCs w:val="32"/>
          <w:shd w:val="clear" w:color="auto" w:fill="FFFFFF"/>
        </w:rPr>
        <w:t>非常大的蔬菜，4-氯苯氧乙酸钠的残留在人体内的累积所产生的有害作用不容忽视。</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（三）</w:t>
      </w:r>
      <w:r>
        <w:rPr>
          <w:rFonts w:hint="eastAsia" w:ascii="楷体_GB2312" w:hAnsi="楷体" w:eastAsia="楷体_GB2312" w:cs="仿宋_GB2312"/>
          <w:b/>
          <w:sz w:val="32"/>
          <w:szCs w:val="32"/>
        </w:rPr>
        <w:t>苯甲酸及其钠盐</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苯甲酸及其钠盐是食品工业中常见的一种防腐保鲜剂，对霉菌、酵母和细菌有较好的抑制作用。《食品安全国家标准食品添加剂使用标准》（GB 2760-2014）中规定，</w:t>
      </w:r>
      <w:r>
        <w:rPr>
          <w:rFonts w:hint="eastAsia" w:ascii="仿宋_GB2312" w:hAnsi="仿宋" w:eastAsia="仿宋_GB2312" w:cs="Arial"/>
          <w:sz w:val="32"/>
          <w:szCs w:val="32"/>
          <w:shd w:val="clear" w:color="auto" w:fill="FFFFFF"/>
          <w:lang w:eastAsia="zh-CN"/>
        </w:rPr>
        <w:t>肉制品、</w:t>
      </w:r>
      <w:r>
        <w:rPr>
          <w:rFonts w:hint="eastAsia" w:ascii="仿宋_GB2312" w:hAnsi="仿宋" w:eastAsia="仿宋_GB2312" w:cs="Arial"/>
          <w:sz w:val="32"/>
          <w:szCs w:val="32"/>
          <w:shd w:val="clear" w:color="auto" w:fill="FFFFFF"/>
        </w:rPr>
        <w:t>生湿面制品中不得使用苯甲酸及其钠盐（以苯甲酸计）。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四</w:t>
      </w:r>
      <w:r>
        <w:rPr>
          <w:rFonts w:hint="eastAsia" w:ascii="楷体_GB2312" w:hAnsi="楷体" w:eastAsia="楷体_GB2312" w:cs="Arial"/>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氟苯尼考又称氟甲砜霉素，是农业部批准使用的动物专用抗菌药，主要用于敏感细菌所致的猪、鸡、鱼的细菌性疾病。《动物性食品中兽药最高残留限量》（农业部公告第235号）（相关部分于2020年4月1日起被GB 31650-2019替代）以及《食品安全国家标准 食品中兽药最大残留限量》（GB 31650-2019）中均规定，氟苯尼考可用于猪、牛、羊、禽、鱼等，但在产蛋期家禽中禁用（鸡蛋、鹅蛋中不得检出）。正常情况下消费者不必对禽蛋中检出氟苯尼考过于担心，但长期食用氟苯尼考残留超标的蛋品，对人体健康有一定风险。</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五</w:t>
      </w:r>
      <w:r>
        <w:rPr>
          <w:rFonts w:hint="eastAsia" w:ascii="楷体_GB2312" w:hAnsi="楷体" w:eastAsia="楷体_GB2312" w:cs="仿宋_GB2312"/>
          <w:b/>
          <w:sz w:val="32"/>
          <w:szCs w:val="32"/>
        </w:rPr>
        <w:t>）脱氢乙酸及其钠盐</w:t>
      </w:r>
    </w:p>
    <w:p>
      <w:pPr>
        <w:spacing w:line="560" w:lineRule="exact"/>
        <w:ind w:firstLine="645"/>
        <w:rPr>
          <w:rFonts w:hint="eastAsia" w:ascii="仿宋_GB2312" w:hAnsi="仿宋" w:eastAsia="仿宋_GB2312" w:cs="Arial"/>
          <w:sz w:val="32"/>
          <w:szCs w:val="32"/>
          <w:shd w:val="clear" w:color="auto" w:fill="FFFFFF"/>
          <w:lang w:val="zh-CN"/>
        </w:rPr>
      </w:pPr>
      <w:r>
        <w:rPr>
          <w:rFonts w:hint="eastAsia" w:ascii="仿宋_GB2312" w:hAnsi="仿宋" w:eastAsia="仿宋_GB2312" w:cs="Arial"/>
          <w:sz w:val="32"/>
          <w:szCs w:val="32"/>
          <w:shd w:val="clear" w:color="auto" w:fill="FFFFFF"/>
        </w:rPr>
        <w:t>脱氢乙酸及其钠盐因对霉菌具有较强的抑制作用而被广泛用作防腐剂使用。《食品安全国家标准 食品添加剂使用标准》（GB 2760-2014）中规定，生湿面制品中不得使用脱氢乙酸及其钠盐。</w:t>
      </w:r>
      <w:r>
        <w:rPr>
          <w:rFonts w:hint="eastAsia" w:ascii="仿宋_GB2312" w:hAnsi="仿宋" w:eastAsia="仿宋_GB2312" w:cs="Arial"/>
          <w:sz w:val="32"/>
          <w:szCs w:val="32"/>
          <w:shd w:val="clear" w:color="auto" w:fill="FFFFFF"/>
          <w:lang w:val="zh-CN"/>
        </w:rPr>
        <w:t>由于脱氢乙酸可与血浆中的白蛋白或组织中蛋白质的胺基结合，若长期过量食用脱氢乙酸含量超标的食品可能会引起肝、肾和中枢神经系统的损伤。</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六</w:t>
      </w:r>
      <w:r>
        <w:rPr>
          <w:rFonts w:hint="eastAsia" w:ascii="楷体_GB2312" w:hAnsi="宋体" w:eastAsia="楷体_GB2312" w:cs="宋体"/>
          <w:b/>
          <w:kern w:val="0"/>
          <w:sz w:val="32"/>
          <w:szCs w:val="32"/>
        </w:rPr>
        <w:t>）五氯酚酸钠</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七</w:t>
      </w:r>
      <w:r>
        <w:rPr>
          <w:rFonts w:hint="eastAsia" w:ascii="楷体_GB2312" w:hAnsi="宋体" w:eastAsia="楷体_GB2312" w:cs="宋体"/>
          <w:b/>
          <w:kern w:val="0"/>
          <w:sz w:val="32"/>
          <w:szCs w:val="32"/>
        </w:rPr>
        <w:t xml:space="preserve">）乙基麦芽酚   </w:t>
      </w:r>
    </w:p>
    <w:p>
      <w:pPr>
        <w:pStyle w:val="8"/>
        <w:widowControl w:val="0"/>
        <w:shd w:val="clear" w:color="auto" w:fill="FFFFFF"/>
        <w:spacing w:before="0" w:beforeAutospacing="0" w:after="0" w:afterAutospacing="0"/>
        <w:ind w:firstLine="640" w:firstLineChars="200"/>
        <w:jc w:val="both"/>
      </w:pPr>
      <w:r>
        <w:rPr>
          <w:rFonts w:hint="eastAsia" w:ascii="仿宋_GB2312" w:hAnsi="仿宋" w:eastAsia="仿宋_GB2312" w:cs="Times New Roman"/>
          <w:kern w:val="2"/>
          <w:sz w:val="32"/>
          <w:szCs w:val="32"/>
          <w:lang w:val="en-US" w:eastAsia="zh-CN" w:bidi="ar-SA"/>
        </w:rPr>
        <w:t>乙基麦芽酚是一种香味增效剂，对食品的香味改善和增强具有显著效果，且能延长食品的储存期。《食品安全国家标准 食品添加剂使用标准》（GB 2760-2014）中规定食用植物油中不得使用乙基麦芽酚。食用植物油中检出微量乙基麦芽酚并不会对人体健康造成伤害，但超范围使用香料提示油品可能存在品质不良或掺杂掺伪的情况。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四</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6F0528D"/>
    <w:rsid w:val="07C82C95"/>
    <w:rsid w:val="081209FA"/>
    <w:rsid w:val="08AD06EB"/>
    <w:rsid w:val="08F00F9F"/>
    <w:rsid w:val="091C5D20"/>
    <w:rsid w:val="0A101FAB"/>
    <w:rsid w:val="0A545255"/>
    <w:rsid w:val="0AEA5DCE"/>
    <w:rsid w:val="0B66492E"/>
    <w:rsid w:val="0C455D22"/>
    <w:rsid w:val="0C6F4539"/>
    <w:rsid w:val="0CD4225F"/>
    <w:rsid w:val="0D6C4E32"/>
    <w:rsid w:val="0EA93008"/>
    <w:rsid w:val="0EC839C2"/>
    <w:rsid w:val="0F261454"/>
    <w:rsid w:val="10AD16A7"/>
    <w:rsid w:val="1162065F"/>
    <w:rsid w:val="11B32DA0"/>
    <w:rsid w:val="11BA183E"/>
    <w:rsid w:val="11CE6913"/>
    <w:rsid w:val="11E172CB"/>
    <w:rsid w:val="1210526E"/>
    <w:rsid w:val="12AF7645"/>
    <w:rsid w:val="12B51B83"/>
    <w:rsid w:val="139A1CB2"/>
    <w:rsid w:val="141B2394"/>
    <w:rsid w:val="155219D3"/>
    <w:rsid w:val="15FE7C46"/>
    <w:rsid w:val="16396F4B"/>
    <w:rsid w:val="16A52765"/>
    <w:rsid w:val="176818BF"/>
    <w:rsid w:val="17C62E78"/>
    <w:rsid w:val="17FA5E44"/>
    <w:rsid w:val="181E6360"/>
    <w:rsid w:val="18F91C2D"/>
    <w:rsid w:val="199008F8"/>
    <w:rsid w:val="19EB104A"/>
    <w:rsid w:val="1AC759AF"/>
    <w:rsid w:val="1B042E72"/>
    <w:rsid w:val="1C2B3ECE"/>
    <w:rsid w:val="1C354059"/>
    <w:rsid w:val="1EFD4E3F"/>
    <w:rsid w:val="1F456A61"/>
    <w:rsid w:val="200B2815"/>
    <w:rsid w:val="2103478D"/>
    <w:rsid w:val="219C06C7"/>
    <w:rsid w:val="231A399D"/>
    <w:rsid w:val="249A66FD"/>
    <w:rsid w:val="255973C6"/>
    <w:rsid w:val="257D0D7B"/>
    <w:rsid w:val="25D84592"/>
    <w:rsid w:val="26D25598"/>
    <w:rsid w:val="27084E46"/>
    <w:rsid w:val="274815F0"/>
    <w:rsid w:val="27537B32"/>
    <w:rsid w:val="27D171E0"/>
    <w:rsid w:val="282A264F"/>
    <w:rsid w:val="29292876"/>
    <w:rsid w:val="29DF09A6"/>
    <w:rsid w:val="2C784420"/>
    <w:rsid w:val="2D2D024C"/>
    <w:rsid w:val="2DA27B95"/>
    <w:rsid w:val="2E172668"/>
    <w:rsid w:val="2E6B3A9D"/>
    <w:rsid w:val="2F085758"/>
    <w:rsid w:val="2F4F707A"/>
    <w:rsid w:val="2FFC71C6"/>
    <w:rsid w:val="307B5CC3"/>
    <w:rsid w:val="31200851"/>
    <w:rsid w:val="31AA7543"/>
    <w:rsid w:val="31EA5456"/>
    <w:rsid w:val="323F00BC"/>
    <w:rsid w:val="324700B2"/>
    <w:rsid w:val="330F0153"/>
    <w:rsid w:val="33132CF8"/>
    <w:rsid w:val="348E513C"/>
    <w:rsid w:val="34B74329"/>
    <w:rsid w:val="35BC7A15"/>
    <w:rsid w:val="36A26439"/>
    <w:rsid w:val="37790A88"/>
    <w:rsid w:val="37DD6246"/>
    <w:rsid w:val="382D7593"/>
    <w:rsid w:val="38622AFA"/>
    <w:rsid w:val="387272BF"/>
    <w:rsid w:val="38865B2F"/>
    <w:rsid w:val="39275408"/>
    <w:rsid w:val="39C64A66"/>
    <w:rsid w:val="3B1904CB"/>
    <w:rsid w:val="3B2518DE"/>
    <w:rsid w:val="3BAB1A67"/>
    <w:rsid w:val="3BFE4DC9"/>
    <w:rsid w:val="3C064771"/>
    <w:rsid w:val="3CDD7A17"/>
    <w:rsid w:val="3DBC0B10"/>
    <w:rsid w:val="3E051E67"/>
    <w:rsid w:val="3E1079E4"/>
    <w:rsid w:val="3E88008E"/>
    <w:rsid w:val="3E984FE9"/>
    <w:rsid w:val="3EC80CDE"/>
    <w:rsid w:val="3F033412"/>
    <w:rsid w:val="3F0B45B6"/>
    <w:rsid w:val="3F685D87"/>
    <w:rsid w:val="40191044"/>
    <w:rsid w:val="428251DB"/>
    <w:rsid w:val="43974288"/>
    <w:rsid w:val="44141429"/>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A5B4E1E"/>
    <w:rsid w:val="5C000884"/>
    <w:rsid w:val="5C224F8E"/>
    <w:rsid w:val="5C240B88"/>
    <w:rsid w:val="5E0D1B19"/>
    <w:rsid w:val="5E214E94"/>
    <w:rsid w:val="5E275C6B"/>
    <w:rsid w:val="5E553A15"/>
    <w:rsid w:val="5E7004E1"/>
    <w:rsid w:val="5ECD4C7F"/>
    <w:rsid w:val="5F093C78"/>
    <w:rsid w:val="5F5A1107"/>
    <w:rsid w:val="6048573D"/>
    <w:rsid w:val="617E5460"/>
    <w:rsid w:val="61E02C8B"/>
    <w:rsid w:val="62547A4D"/>
    <w:rsid w:val="638239E5"/>
    <w:rsid w:val="63E10B0C"/>
    <w:rsid w:val="640612C6"/>
    <w:rsid w:val="6537764C"/>
    <w:rsid w:val="65E578BD"/>
    <w:rsid w:val="666A4D62"/>
    <w:rsid w:val="668A5EDC"/>
    <w:rsid w:val="67180D7A"/>
    <w:rsid w:val="6756300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70254438"/>
    <w:rsid w:val="71DB6825"/>
    <w:rsid w:val="72A04A1F"/>
    <w:rsid w:val="72F24D9D"/>
    <w:rsid w:val="733275F5"/>
    <w:rsid w:val="738026E3"/>
    <w:rsid w:val="74104D2B"/>
    <w:rsid w:val="747927C4"/>
    <w:rsid w:val="754B170B"/>
    <w:rsid w:val="756F7B86"/>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4</TotalTime>
  <ScaleCrop>false</ScaleCrop>
  <LinksUpToDate>false</LinksUpToDate>
  <CharactersWithSpaces>4018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2021-07-23T01:00:50Z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2BCBADEB164F420AB7CA92621D404113</vt:lpwstr>
  </property>
</Properties>
</file>