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D8" w:rsidRDefault="00A96F53">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3</w:t>
      </w:r>
    </w:p>
    <w:p w:rsidR="007A1CD8" w:rsidRDefault="00A96F53">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7A1CD8" w:rsidRDefault="007A1CD8">
      <w:pPr>
        <w:spacing w:line="560" w:lineRule="exact"/>
        <w:ind w:firstLineChars="200" w:firstLine="480"/>
        <w:rPr>
          <w:rFonts w:ascii="宋体" w:eastAsia="宋体" w:hAnsi="宋体" w:cs="宋体"/>
          <w:kern w:val="0"/>
          <w:sz w:val="24"/>
          <w:szCs w:val="24"/>
        </w:rPr>
      </w:pPr>
    </w:p>
    <w:p w:rsidR="007A1CD8" w:rsidRDefault="00A96F53">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7A1CD8" w:rsidRDefault="00A96F53">
      <w:pPr>
        <w:spacing w:line="560" w:lineRule="exact"/>
        <w:ind w:firstLineChars="200" w:firstLine="643"/>
        <w:rPr>
          <w:rFonts w:ascii="仿宋" w:eastAsia="仿宋" w:hAnsi="仿宋" w:cs="Times New Roman"/>
          <w:sz w:val="32"/>
          <w:szCs w:val="32"/>
        </w:rPr>
      </w:pPr>
      <w:r>
        <w:rPr>
          <w:rFonts w:ascii="楷体" w:eastAsia="楷体" w:hAnsi="楷体" w:cs="仿宋_GB2312"/>
          <w:b/>
          <w:sz w:val="32"/>
          <w:szCs w:val="32"/>
        </w:rPr>
        <w:t>1</w:t>
      </w:r>
      <w:r>
        <w:rPr>
          <w:rFonts w:ascii="楷体" w:eastAsia="楷体" w:hAnsi="楷体" w:cs="仿宋_GB2312" w:hint="eastAsia"/>
          <w:b/>
          <w:sz w:val="32"/>
          <w:szCs w:val="32"/>
        </w:rPr>
        <w:t>、二氧化硫残留量</w:t>
      </w:r>
    </w:p>
    <w:p w:rsidR="007A1CD8" w:rsidRDefault="00A96F53">
      <w:pPr>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t>食品中的二氧化硫残留通常是指二氧化硫以及焦亚硫酸钠、焦亚硫酸钾、亚硫酸钠</w:t>
      </w:r>
      <w:r>
        <w:rPr>
          <w:rFonts w:ascii="仿宋" w:eastAsia="仿宋" w:hAnsi="仿宋" w:cs="宋体" w:hint="eastAsia"/>
          <w:color w:val="FF0000"/>
          <w:kern w:val="0"/>
          <w:sz w:val="32"/>
          <w:szCs w:val="32"/>
        </w:rPr>
        <w:t>、</w:t>
      </w:r>
      <w:r>
        <w:rPr>
          <w:rFonts w:ascii="仿宋" w:eastAsia="仿宋" w:hAnsi="仿宋" w:cs="宋体" w:hint="eastAsia"/>
          <w:color w:val="000000"/>
          <w:kern w:val="0"/>
          <w:sz w:val="32"/>
          <w:szCs w:val="32"/>
        </w:rPr>
        <w:t>亚硫酸氢钠、低亚硫酸钠等无机亚硫酸盐残留的统称。</w:t>
      </w:r>
      <w:r>
        <w:rPr>
          <w:rFonts w:ascii="仿宋" w:eastAsia="仿宋" w:hAnsi="仿宋"/>
          <w:spacing w:val="14"/>
          <w:sz w:val="32"/>
          <w:szCs w:val="32"/>
        </w:rPr>
        <w:t>《食品安全国家标准</w:t>
      </w:r>
      <w:r>
        <w:rPr>
          <w:rFonts w:ascii="仿宋" w:eastAsia="仿宋" w:hAnsi="仿宋"/>
          <w:spacing w:val="14"/>
          <w:sz w:val="32"/>
          <w:szCs w:val="32"/>
        </w:rPr>
        <w:t xml:space="preserve"> </w:t>
      </w:r>
      <w:r>
        <w:rPr>
          <w:rFonts w:ascii="仿宋" w:eastAsia="仿宋" w:hAnsi="仿宋"/>
          <w:spacing w:val="14"/>
          <w:sz w:val="32"/>
          <w:szCs w:val="32"/>
        </w:rPr>
        <w:t>食品添加剂使用标准》</w:t>
      </w:r>
      <w:r>
        <w:rPr>
          <w:rFonts w:ascii="仿宋" w:eastAsia="仿宋" w:hAnsi="仿宋"/>
          <w:spacing w:val="-6"/>
          <w:sz w:val="32"/>
          <w:szCs w:val="32"/>
        </w:rPr>
        <w:t>（</w:t>
      </w:r>
      <w:r>
        <w:rPr>
          <w:rFonts w:ascii="仿宋" w:eastAsia="仿宋" w:hAnsi="仿宋"/>
          <w:spacing w:val="-6"/>
          <w:sz w:val="32"/>
          <w:szCs w:val="32"/>
        </w:rPr>
        <w:t>GB</w:t>
      </w:r>
      <w:r>
        <w:rPr>
          <w:rFonts w:ascii="仿宋" w:eastAsia="仿宋" w:hAnsi="仿宋"/>
          <w:sz w:val="32"/>
          <w:szCs w:val="32"/>
        </w:rPr>
        <w:t xml:space="preserve"> 2760</w:t>
      </w:r>
      <w:r>
        <w:rPr>
          <w:rFonts w:ascii="仿宋" w:eastAsia="仿宋" w:hAnsi="仿宋" w:hint="eastAsia"/>
          <w:sz w:val="32"/>
          <w:szCs w:val="32"/>
        </w:rPr>
        <w:t>-</w:t>
      </w:r>
      <w:r>
        <w:rPr>
          <w:rFonts w:ascii="仿宋" w:eastAsia="仿宋" w:hAnsi="仿宋"/>
          <w:sz w:val="32"/>
          <w:szCs w:val="32"/>
        </w:rPr>
        <w:t>2014</w:t>
      </w:r>
      <w:r>
        <w:rPr>
          <w:rFonts w:ascii="仿宋" w:eastAsia="仿宋" w:hAnsi="仿宋"/>
          <w:sz w:val="32"/>
          <w:szCs w:val="32"/>
        </w:rPr>
        <w:t>）中规定，</w:t>
      </w:r>
      <w:r>
        <w:rPr>
          <w:rFonts w:ascii="仿宋" w:eastAsia="仿宋" w:hAnsi="仿宋" w:hint="eastAsia"/>
          <w:sz w:val="32"/>
          <w:szCs w:val="32"/>
        </w:rPr>
        <w:t>水产制品中不得使用</w:t>
      </w:r>
      <w:r>
        <w:rPr>
          <w:rFonts w:ascii="仿宋" w:eastAsia="仿宋" w:hAnsi="仿宋"/>
          <w:sz w:val="32"/>
          <w:szCs w:val="32"/>
        </w:rPr>
        <w:t>二氧化硫</w:t>
      </w:r>
      <w:r>
        <w:rPr>
          <w:rFonts w:ascii="仿宋" w:eastAsia="仿宋" w:hAnsi="仿宋" w:hint="eastAsia"/>
          <w:sz w:val="32"/>
          <w:szCs w:val="32"/>
        </w:rPr>
        <w:t>，干制蔬菜中</w:t>
      </w:r>
      <w:r>
        <w:rPr>
          <w:rFonts w:ascii="仿宋" w:eastAsia="仿宋" w:hAnsi="仿宋"/>
          <w:sz w:val="32"/>
          <w:szCs w:val="32"/>
        </w:rPr>
        <w:t>二氧化硫残留量</w:t>
      </w:r>
      <w:r>
        <w:rPr>
          <w:rFonts w:ascii="仿宋" w:eastAsia="仿宋" w:hAnsi="仿宋" w:hint="eastAsia"/>
          <w:sz w:val="32"/>
          <w:szCs w:val="32"/>
        </w:rPr>
        <w:t>应≤</w:t>
      </w:r>
      <w:r>
        <w:rPr>
          <w:rFonts w:ascii="仿宋" w:eastAsia="仿宋" w:hAnsi="仿宋" w:hint="eastAsia"/>
          <w:sz w:val="32"/>
          <w:szCs w:val="32"/>
        </w:rPr>
        <w:t>0.2g/kg</w:t>
      </w:r>
      <w:r>
        <w:rPr>
          <w:rFonts w:ascii="仿宋" w:eastAsia="仿宋" w:hAnsi="仿宋" w:hint="eastAsia"/>
          <w:sz w:val="32"/>
          <w:szCs w:val="32"/>
        </w:rPr>
        <w:t>。二氧化硫进入人体后最终转化为硫酸盐并随尿液排出体外，少量摄入不会对身体带来健康危害，但若过量食用可能引起如恶心、呕吐等胃肠道反应。</w:t>
      </w:r>
    </w:p>
    <w:p w:rsidR="007A1CD8" w:rsidRDefault="00A96F53">
      <w:pPr>
        <w:spacing w:line="560" w:lineRule="exact"/>
        <w:ind w:firstLineChars="200" w:firstLine="643"/>
        <w:rPr>
          <w:rFonts w:ascii="仿宋" w:eastAsia="仿宋" w:hAnsi="仿宋" w:cs="宋体"/>
          <w:color w:val="000000"/>
          <w:kern w:val="0"/>
          <w:sz w:val="32"/>
          <w:szCs w:val="32"/>
        </w:rPr>
      </w:pPr>
      <w:r>
        <w:rPr>
          <w:rFonts w:ascii="楷体" w:eastAsia="楷体" w:hAnsi="楷体" w:cs="仿宋_GB2312" w:hint="eastAsia"/>
          <w:b/>
          <w:sz w:val="32"/>
          <w:szCs w:val="32"/>
        </w:rPr>
        <w:t>2</w:t>
      </w:r>
      <w:r>
        <w:rPr>
          <w:rFonts w:ascii="楷体" w:eastAsia="楷体" w:hAnsi="楷体" w:cs="仿宋_GB2312" w:hint="eastAsia"/>
          <w:b/>
          <w:sz w:val="32"/>
          <w:szCs w:val="32"/>
        </w:rPr>
        <w:t>、脱氢乙酸及其钠盐</w:t>
      </w:r>
    </w:p>
    <w:p w:rsidR="007A1CD8" w:rsidRDefault="00A96F53">
      <w:pPr>
        <w:ind w:firstLineChars="200" w:firstLine="640"/>
        <w:rPr>
          <w:rFonts w:ascii="仿宋" w:eastAsia="仿宋" w:hAnsi="仿宋" w:cs="宋体"/>
          <w:kern w:val="0"/>
          <w:sz w:val="32"/>
          <w:szCs w:val="32"/>
          <w:lang w:val="zh-CN"/>
        </w:rPr>
      </w:pPr>
      <w:r>
        <w:rPr>
          <w:rFonts w:ascii="仿宋" w:eastAsia="仿宋" w:hAnsi="仿宋" w:hint="eastAsia"/>
          <w:sz w:val="32"/>
          <w:szCs w:val="32"/>
        </w:rPr>
        <w:t>脱氢乙酸及其钠盐由于对霉菌具有较强</w:t>
      </w:r>
      <w:r>
        <w:rPr>
          <w:rFonts w:ascii="仿宋" w:eastAsia="仿宋" w:hAnsi="仿宋"/>
          <w:sz w:val="32"/>
          <w:szCs w:val="32"/>
        </w:rPr>
        <w:t>的抑制作用</w:t>
      </w:r>
      <w:r>
        <w:rPr>
          <w:rFonts w:ascii="仿宋" w:eastAsia="仿宋" w:hAnsi="仿宋" w:hint="eastAsia"/>
          <w:sz w:val="32"/>
          <w:szCs w:val="32"/>
        </w:rPr>
        <w:t>，</w:t>
      </w:r>
      <w:r>
        <w:rPr>
          <w:rFonts w:ascii="仿宋" w:eastAsia="仿宋" w:hAnsi="仿宋" w:cs="仿宋_GB2312" w:hint="eastAsia"/>
          <w:sz w:val="32"/>
          <w:szCs w:val="32"/>
        </w:rPr>
        <w:t>经常会被添加在食物中作为防腐剂</w:t>
      </w:r>
      <w:r>
        <w:rPr>
          <w:rFonts w:ascii="仿宋" w:eastAsia="仿宋" w:hAnsi="仿宋" w:hint="eastAsia"/>
          <w:sz w:val="32"/>
          <w:szCs w:val="32"/>
        </w:rPr>
        <w:t>使用</w:t>
      </w:r>
      <w:r>
        <w:rPr>
          <w:rFonts w:ascii="仿宋" w:eastAsia="仿宋" w:hAnsi="仿宋"/>
          <w:sz w:val="32"/>
          <w:szCs w:val="32"/>
        </w:rPr>
        <w:t>。《食品安全国家标准</w:t>
      </w:r>
      <w:r>
        <w:rPr>
          <w:rFonts w:ascii="仿宋" w:eastAsia="仿宋" w:hAnsi="仿宋"/>
          <w:sz w:val="32"/>
          <w:szCs w:val="32"/>
        </w:rPr>
        <w:t xml:space="preserve"> </w:t>
      </w:r>
      <w:r>
        <w:rPr>
          <w:rFonts w:ascii="仿宋" w:eastAsia="仿宋" w:hAnsi="仿宋"/>
          <w:sz w:val="32"/>
          <w:szCs w:val="32"/>
        </w:rPr>
        <w:t>食品添加剂使用标准》（</w:t>
      </w:r>
      <w:r>
        <w:rPr>
          <w:rFonts w:ascii="仿宋" w:eastAsia="仿宋" w:hAnsi="仿宋"/>
          <w:sz w:val="32"/>
          <w:szCs w:val="32"/>
        </w:rPr>
        <w:t>GB 2760-2014</w:t>
      </w:r>
      <w:r>
        <w:rPr>
          <w:rFonts w:ascii="仿宋" w:eastAsia="仿宋" w:hAnsi="仿宋"/>
          <w:sz w:val="32"/>
          <w:szCs w:val="32"/>
        </w:rPr>
        <w:t>）中规定</w:t>
      </w:r>
      <w:r>
        <w:rPr>
          <w:rFonts w:ascii="仿宋" w:eastAsia="仿宋" w:hAnsi="仿宋" w:hint="eastAsia"/>
          <w:sz w:val="32"/>
          <w:szCs w:val="32"/>
        </w:rPr>
        <w:t>，糕点中的</w:t>
      </w:r>
      <w:r>
        <w:rPr>
          <w:rFonts w:ascii="仿宋" w:eastAsia="仿宋" w:hAnsi="仿宋"/>
          <w:sz w:val="32"/>
          <w:szCs w:val="32"/>
        </w:rPr>
        <w:t>脱氢乙酸及其钠盐应</w:t>
      </w:r>
      <w:r>
        <w:rPr>
          <w:rFonts w:ascii="仿宋" w:eastAsia="仿宋" w:hAnsi="仿宋" w:hint="eastAsia"/>
          <w:sz w:val="32"/>
          <w:szCs w:val="32"/>
        </w:rPr>
        <w:t>≤</w:t>
      </w:r>
      <w:r>
        <w:rPr>
          <w:rFonts w:ascii="仿宋" w:eastAsia="仿宋" w:hAnsi="仿宋" w:hint="eastAsia"/>
          <w:sz w:val="32"/>
          <w:szCs w:val="32"/>
        </w:rPr>
        <w:t>0.5g/kg</w:t>
      </w:r>
      <w:r>
        <w:rPr>
          <w:rFonts w:ascii="仿宋" w:eastAsia="仿宋" w:hAnsi="仿宋" w:hint="eastAsia"/>
          <w:sz w:val="32"/>
          <w:szCs w:val="32"/>
        </w:rPr>
        <w:t>，米粉制品</w:t>
      </w:r>
      <w:r>
        <w:rPr>
          <w:rFonts w:ascii="仿宋" w:eastAsia="仿宋" w:hAnsi="仿宋"/>
          <w:sz w:val="32"/>
          <w:szCs w:val="32"/>
        </w:rPr>
        <w:t>中不得使用脱氢乙酸及其钠盐。</w:t>
      </w:r>
      <w:r>
        <w:rPr>
          <w:rFonts w:ascii="仿宋" w:eastAsia="仿宋" w:hAnsi="仿宋" w:cs="宋体" w:hint="eastAsia"/>
          <w:kern w:val="0"/>
          <w:sz w:val="32"/>
          <w:szCs w:val="32"/>
          <w:lang w:val="zh-CN"/>
        </w:rPr>
        <w:t>由于脱</w:t>
      </w:r>
      <w:r>
        <w:rPr>
          <w:rFonts w:ascii="仿宋" w:eastAsia="仿宋" w:hAnsi="仿宋" w:cs="宋体" w:hint="eastAsia"/>
          <w:kern w:val="0"/>
          <w:sz w:val="32"/>
          <w:szCs w:val="32"/>
          <w:lang w:val="zh-CN"/>
        </w:rPr>
        <w:t>氢乙酸可与血浆的白蛋白或组织中蛋白质的胺基结合，如果长期过量食用脱氢乙酸含量超标的食品可能会引起肝、肾和中枢神经系统的损伤。</w:t>
      </w:r>
    </w:p>
    <w:p w:rsidR="007A1CD8" w:rsidRDefault="00A96F53">
      <w:pPr>
        <w:spacing w:line="560" w:lineRule="exact"/>
        <w:ind w:firstLineChars="200" w:firstLine="643"/>
        <w:rPr>
          <w:rFonts w:ascii="楷体" w:eastAsia="楷体" w:hAnsi="楷体" w:cs="宋体"/>
          <w:b/>
          <w:color w:val="000000"/>
          <w:kern w:val="0"/>
          <w:sz w:val="32"/>
          <w:szCs w:val="32"/>
        </w:rPr>
      </w:pPr>
      <w:r>
        <w:rPr>
          <w:rFonts w:ascii="楷体" w:eastAsia="楷体" w:hAnsi="楷体" w:cs="仿宋_GB2312" w:hint="eastAsia"/>
          <w:b/>
          <w:sz w:val="32"/>
          <w:szCs w:val="32"/>
        </w:rPr>
        <w:t>3</w:t>
      </w:r>
      <w:r>
        <w:rPr>
          <w:rFonts w:ascii="楷体" w:eastAsia="楷体" w:hAnsi="楷体" w:cs="仿宋_GB2312" w:hint="eastAsia"/>
          <w:b/>
          <w:sz w:val="32"/>
          <w:szCs w:val="32"/>
        </w:rPr>
        <w:t>、</w:t>
      </w:r>
      <w:r>
        <w:rPr>
          <w:rFonts w:ascii="楷体" w:eastAsia="楷体" w:hAnsi="楷体"/>
          <w:b/>
          <w:sz w:val="32"/>
          <w:szCs w:val="32"/>
        </w:rPr>
        <w:t>防腐剂混合使用时各自用量占其最大使用量的比例之</w:t>
      </w:r>
      <w:proofErr w:type="gramStart"/>
      <w:r>
        <w:rPr>
          <w:rFonts w:ascii="楷体" w:eastAsia="楷体" w:hAnsi="楷体"/>
          <w:b/>
          <w:sz w:val="32"/>
          <w:szCs w:val="32"/>
        </w:rPr>
        <w:t>和</w:t>
      </w:r>
      <w:proofErr w:type="gramEnd"/>
    </w:p>
    <w:p w:rsidR="007A1CD8" w:rsidRDefault="00A96F53">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sz w:val="32"/>
          <w:szCs w:val="32"/>
        </w:rPr>
        <w:t>防腐剂是以保持食品原有品质和营养价值为目的的食</w:t>
      </w:r>
      <w:r>
        <w:rPr>
          <w:rFonts w:ascii="仿宋" w:eastAsia="仿宋" w:hAnsi="仿宋"/>
          <w:sz w:val="32"/>
          <w:szCs w:val="32"/>
        </w:rPr>
        <w:lastRenderedPageBreak/>
        <w:t>品添加剂，它能抑制微生物的生长繁殖，防止食品腐败变质从而延长保质期。《食品安全国家标准</w:t>
      </w:r>
      <w:r>
        <w:rPr>
          <w:rFonts w:ascii="仿宋" w:eastAsia="仿宋" w:hAnsi="仿宋"/>
          <w:sz w:val="32"/>
          <w:szCs w:val="32"/>
        </w:rPr>
        <w:t xml:space="preserve"> </w:t>
      </w:r>
      <w:r>
        <w:rPr>
          <w:rFonts w:ascii="仿宋" w:eastAsia="仿宋" w:hAnsi="仿宋"/>
          <w:sz w:val="32"/>
          <w:szCs w:val="32"/>
        </w:rPr>
        <w:t>食品添加剂使用标准》（</w:t>
      </w:r>
      <w:r>
        <w:rPr>
          <w:rFonts w:ascii="仿宋" w:eastAsia="仿宋" w:hAnsi="仿宋"/>
          <w:sz w:val="32"/>
          <w:szCs w:val="32"/>
        </w:rPr>
        <w:t>GB 2760</w:t>
      </w:r>
      <w:r>
        <w:rPr>
          <w:rFonts w:ascii="仿宋" w:eastAsia="仿宋" w:hAnsi="仿宋" w:hint="eastAsia"/>
          <w:sz w:val="32"/>
          <w:szCs w:val="32"/>
        </w:rPr>
        <w:t>-</w:t>
      </w:r>
      <w:r>
        <w:rPr>
          <w:rFonts w:ascii="仿宋" w:eastAsia="仿宋" w:hAnsi="仿宋"/>
          <w:sz w:val="32"/>
          <w:szCs w:val="32"/>
        </w:rPr>
        <w:t>2014</w:t>
      </w:r>
      <w:r>
        <w:rPr>
          <w:rFonts w:ascii="仿宋" w:eastAsia="仿宋" w:hAnsi="仿宋"/>
          <w:sz w:val="32"/>
          <w:szCs w:val="32"/>
        </w:rPr>
        <w:t>）不仅规定了我国在食品中允许添加的某一添加剂的种类、使用量或残留量，而且规定了同一功能的食品添加剂（相同色泽着色剂、防腐剂、抗氧化剂）在混合使用时，各自用量占其最大使用量的比例之和不应超过</w:t>
      </w:r>
      <w:r>
        <w:rPr>
          <w:rFonts w:ascii="仿宋" w:eastAsia="仿宋" w:hAnsi="仿宋"/>
          <w:sz w:val="32"/>
          <w:szCs w:val="32"/>
        </w:rPr>
        <w:t>1</w:t>
      </w:r>
      <w:r>
        <w:rPr>
          <w:rFonts w:ascii="仿宋" w:eastAsia="仿宋" w:hAnsi="仿宋"/>
          <w:sz w:val="32"/>
          <w:szCs w:val="32"/>
        </w:rPr>
        <w:t>。我国允许使用的食品防腐剂为低毒、安全性较高的品种，但长期过量摄入可能会对人体健康造成一定的损害。</w:t>
      </w:r>
    </w:p>
    <w:p w:rsidR="007A1CD8" w:rsidRDefault="00A96F53">
      <w:pPr>
        <w:spacing w:line="560" w:lineRule="exact"/>
        <w:ind w:firstLineChars="200" w:firstLine="643"/>
        <w:rPr>
          <w:rFonts w:ascii="仿宋" w:eastAsia="仿宋" w:hAnsi="仿宋" w:cs="宋体"/>
          <w:color w:val="000000"/>
          <w:kern w:val="0"/>
          <w:sz w:val="32"/>
          <w:szCs w:val="32"/>
        </w:rPr>
      </w:pPr>
      <w:r>
        <w:rPr>
          <w:rFonts w:ascii="楷体" w:eastAsia="楷体" w:hAnsi="楷体" w:cs="仿宋_GB2312" w:hint="eastAsia"/>
          <w:b/>
          <w:sz w:val="32"/>
          <w:szCs w:val="32"/>
        </w:rPr>
        <w:t>4</w:t>
      </w:r>
      <w:r>
        <w:rPr>
          <w:rFonts w:ascii="楷体" w:eastAsia="楷体" w:hAnsi="楷体" w:cs="仿宋_GB2312" w:hint="eastAsia"/>
          <w:b/>
          <w:sz w:val="32"/>
          <w:szCs w:val="32"/>
        </w:rPr>
        <w:t>、铝的残留量</w:t>
      </w:r>
    </w:p>
    <w:p w:rsidR="007A1CD8" w:rsidRDefault="00A96F53">
      <w:pPr>
        <w:ind w:firstLineChars="200" w:firstLine="640"/>
        <w:rPr>
          <w:rFonts w:ascii="仿宋" w:eastAsia="仿宋" w:hAnsi="仿宋"/>
          <w:sz w:val="32"/>
          <w:szCs w:val="32"/>
        </w:rPr>
      </w:pPr>
      <w:proofErr w:type="gramStart"/>
      <w:r>
        <w:rPr>
          <w:rFonts w:ascii="仿宋" w:eastAsia="仿宋" w:hAnsi="仿宋" w:cs="仿宋_GB2312" w:hint="eastAsia"/>
          <w:sz w:val="32"/>
          <w:szCs w:val="32"/>
        </w:rPr>
        <w:t>铝作为</w:t>
      </w:r>
      <w:proofErr w:type="gramEnd"/>
      <w:r>
        <w:rPr>
          <w:rFonts w:ascii="仿宋" w:eastAsia="仿宋" w:hAnsi="仿宋" w:cs="仿宋_GB2312" w:hint="eastAsia"/>
          <w:sz w:val="32"/>
          <w:szCs w:val="32"/>
        </w:rPr>
        <w:t>食品添加剂硫酸铝钾</w:t>
      </w:r>
      <w:r>
        <w:rPr>
          <w:rFonts w:ascii="仿宋" w:eastAsia="仿宋" w:hAnsi="仿宋" w:cs="仿宋_GB2312" w:hint="eastAsia"/>
          <w:sz w:val="32"/>
          <w:szCs w:val="32"/>
        </w:rPr>
        <w:t>的</w:t>
      </w:r>
      <w:r>
        <w:rPr>
          <w:rFonts w:ascii="仿宋" w:eastAsia="仿宋" w:hAnsi="仿宋" w:cs="仿宋_GB2312" w:hint="eastAsia"/>
          <w:sz w:val="32"/>
          <w:szCs w:val="32"/>
        </w:rPr>
        <w:t>重要成分，经常会被添加在食品中作为膨松剂或稳定剂使用。</w:t>
      </w:r>
      <w:r>
        <w:rPr>
          <w:rFonts w:ascii="仿宋" w:eastAsia="仿宋" w:hAnsi="仿宋" w:cs="Times New Roman"/>
          <w:sz w:val="32"/>
          <w:szCs w:val="32"/>
        </w:rPr>
        <w:t>《食品安全国家标准</w:t>
      </w:r>
      <w:r>
        <w:rPr>
          <w:rFonts w:ascii="仿宋" w:eastAsia="仿宋" w:hAnsi="仿宋" w:cs="Times New Roman"/>
          <w:sz w:val="32"/>
          <w:szCs w:val="32"/>
        </w:rPr>
        <w:t xml:space="preserve"> </w:t>
      </w:r>
      <w:r>
        <w:rPr>
          <w:rFonts w:ascii="仿宋" w:eastAsia="仿宋" w:hAnsi="仿宋" w:cs="Times New Roman"/>
          <w:sz w:val="32"/>
          <w:szCs w:val="32"/>
        </w:rPr>
        <w:t>食品添加剂使用标准》（</w:t>
      </w:r>
      <w:r>
        <w:rPr>
          <w:rFonts w:ascii="仿宋" w:eastAsia="仿宋" w:hAnsi="仿宋" w:cs="Times New Roman"/>
          <w:sz w:val="32"/>
          <w:szCs w:val="32"/>
        </w:rPr>
        <w:t>GB 2760</w:t>
      </w:r>
      <w:r>
        <w:rPr>
          <w:rFonts w:ascii="仿宋" w:eastAsia="仿宋" w:hAnsi="仿宋" w:cs="Times New Roman" w:hint="eastAsia"/>
          <w:sz w:val="32"/>
          <w:szCs w:val="32"/>
        </w:rPr>
        <w:t>-</w:t>
      </w:r>
      <w:r>
        <w:rPr>
          <w:rFonts w:ascii="仿宋" w:eastAsia="仿宋" w:hAnsi="仿宋" w:cs="Times New Roman"/>
          <w:sz w:val="32"/>
          <w:szCs w:val="32"/>
        </w:rPr>
        <w:t>2014</w:t>
      </w:r>
      <w:r>
        <w:rPr>
          <w:rFonts w:ascii="仿宋" w:eastAsia="仿宋" w:hAnsi="仿宋" w:cs="Times New Roman"/>
          <w:sz w:val="32"/>
          <w:szCs w:val="32"/>
        </w:rPr>
        <w:t>）中规定，</w:t>
      </w:r>
      <w:r>
        <w:rPr>
          <w:rFonts w:ascii="仿宋" w:eastAsia="仿宋" w:hAnsi="仿宋" w:cs="Times New Roman" w:hint="eastAsia"/>
          <w:sz w:val="32"/>
          <w:szCs w:val="32"/>
        </w:rPr>
        <w:t>粉条中的铝的残留量应≤</w:t>
      </w:r>
      <w:r>
        <w:rPr>
          <w:rFonts w:ascii="仿宋" w:eastAsia="仿宋" w:hAnsi="仿宋" w:cs="Times New Roman" w:hint="eastAsia"/>
          <w:sz w:val="32"/>
          <w:szCs w:val="32"/>
        </w:rPr>
        <w:t>200mg/kg</w:t>
      </w:r>
      <w:r>
        <w:rPr>
          <w:rFonts w:ascii="仿宋" w:eastAsia="仿宋" w:hAnsi="仿宋" w:cs="Times New Roman" w:hint="eastAsia"/>
          <w:sz w:val="32"/>
          <w:szCs w:val="32"/>
        </w:rPr>
        <w:t>。</w:t>
      </w:r>
      <w:r>
        <w:rPr>
          <w:rFonts w:ascii="仿宋" w:eastAsia="仿宋" w:hAnsi="仿宋" w:cs="仿宋_GB2312" w:hint="eastAsia"/>
          <w:sz w:val="32"/>
          <w:szCs w:val="32"/>
        </w:rPr>
        <w:t>铝有一定的慢性毒性，长期摄入铝超标的食品，在体内可造成铝的蓄积，轻者会使食欲减退，引起贫血，重者会表现为神经毒性，使人运动失调、记忆力衰退等。</w:t>
      </w:r>
    </w:p>
    <w:p w:rsidR="007A1CD8" w:rsidRDefault="00A96F53">
      <w:pPr>
        <w:spacing w:line="560" w:lineRule="exact"/>
        <w:ind w:firstLineChars="200" w:firstLine="643"/>
        <w:rPr>
          <w:rFonts w:ascii="楷体" w:eastAsia="楷体" w:hAnsi="楷体" w:cs="宋体"/>
          <w:b/>
          <w:color w:val="000000"/>
          <w:kern w:val="0"/>
          <w:sz w:val="32"/>
          <w:szCs w:val="32"/>
        </w:rPr>
      </w:pPr>
      <w:r>
        <w:rPr>
          <w:rFonts w:ascii="楷体" w:eastAsia="楷体" w:hAnsi="楷体" w:cs="仿宋_GB2312"/>
          <w:b/>
          <w:sz w:val="32"/>
          <w:szCs w:val="32"/>
        </w:rPr>
        <w:t>5</w:t>
      </w:r>
      <w:r>
        <w:rPr>
          <w:rFonts w:ascii="楷体" w:eastAsia="楷体" w:hAnsi="楷体" w:cs="仿宋_GB2312" w:hint="eastAsia"/>
          <w:b/>
          <w:sz w:val="32"/>
          <w:szCs w:val="32"/>
        </w:rPr>
        <w:t>、</w:t>
      </w:r>
      <w:r>
        <w:rPr>
          <w:rFonts w:ascii="楷体" w:eastAsia="楷体" w:hAnsi="楷体" w:cs="Arial"/>
          <w:b/>
          <w:sz w:val="32"/>
          <w:szCs w:val="32"/>
          <w:shd w:val="clear" w:color="auto" w:fill="FFFFFF"/>
        </w:rPr>
        <w:t>4-</w:t>
      </w:r>
      <w:r>
        <w:rPr>
          <w:rFonts w:ascii="楷体" w:eastAsia="楷体" w:hAnsi="楷体" w:cs="Arial"/>
          <w:b/>
          <w:sz w:val="32"/>
          <w:szCs w:val="32"/>
          <w:shd w:val="clear" w:color="auto" w:fill="FFFFFF"/>
        </w:rPr>
        <w:t>氯苯氧乙酸</w:t>
      </w:r>
      <w:r>
        <w:rPr>
          <w:rFonts w:ascii="楷体" w:eastAsia="楷体" w:hAnsi="楷体" w:cs="Arial" w:hint="eastAsia"/>
          <w:b/>
          <w:sz w:val="32"/>
          <w:szCs w:val="32"/>
          <w:shd w:val="clear" w:color="auto" w:fill="FFFFFF"/>
        </w:rPr>
        <w:t>钠</w:t>
      </w:r>
    </w:p>
    <w:p w:rsidR="007A1CD8" w:rsidRDefault="00A96F53">
      <w:pPr>
        <w:spacing w:line="560" w:lineRule="exact"/>
        <w:ind w:firstLineChars="200" w:firstLine="640"/>
        <w:rPr>
          <w:rFonts w:ascii="仿宋" w:eastAsia="仿宋" w:hAnsi="仿宋" w:cs="Arial"/>
          <w:color w:val="333333"/>
          <w:sz w:val="32"/>
          <w:szCs w:val="32"/>
          <w:shd w:val="clear" w:color="auto" w:fill="FFFFFF"/>
        </w:rPr>
      </w:pPr>
      <w:r>
        <w:rPr>
          <w:rFonts w:ascii="仿宋" w:eastAsia="仿宋" w:hAnsi="仿宋" w:cs="Arial"/>
          <w:sz w:val="32"/>
          <w:szCs w:val="32"/>
          <w:shd w:val="clear" w:color="auto" w:fill="FFFFFF"/>
        </w:rPr>
        <w:t>4-</w:t>
      </w:r>
      <w:r>
        <w:rPr>
          <w:rFonts w:ascii="仿宋" w:eastAsia="仿宋" w:hAnsi="仿宋" w:cs="Arial"/>
          <w:sz w:val="32"/>
          <w:szCs w:val="32"/>
          <w:shd w:val="clear" w:color="auto" w:fill="FFFFFF"/>
        </w:rPr>
        <w:t>氯苯氧乙酸</w:t>
      </w:r>
      <w:r>
        <w:rPr>
          <w:rFonts w:ascii="仿宋" w:eastAsia="仿宋" w:hAnsi="仿宋" w:cs="Arial" w:hint="eastAsia"/>
          <w:sz w:val="32"/>
          <w:szCs w:val="32"/>
          <w:shd w:val="clear" w:color="auto" w:fill="FFFFFF"/>
        </w:rPr>
        <w:t>钠</w:t>
      </w:r>
      <w:r>
        <w:rPr>
          <w:rFonts w:ascii="仿宋" w:eastAsia="仿宋" w:hAnsi="仿宋" w:cs="Arial"/>
          <w:sz w:val="32"/>
          <w:szCs w:val="32"/>
          <w:shd w:val="clear" w:color="auto" w:fill="FFFFFF"/>
        </w:rPr>
        <w:t>是一</w:t>
      </w:r>
      <w:r>
        <w:rPr>
          <w:rFonts w:ascii="仿宋" w:eastAsia="仿宋" w:hAnsi="仿宋" w:cs="Arial" w:hint="eastAsia"/>
          <w:sz w:val="32"/>
          <w:szCs w:val="32"/>
          <w:shd w:val="clear" w:color="auto" w:fill="FFFFFF"/>
        </w:rPr>
        <w:t>种</w:t>
      </w:r>
      <w:r>
        <w:rPr>
          <w:rFonts w:ascii="仿宋" w:eastAsia="仿宋" w:hAnsi="仿宋" w:cs="Arial"/>
          <w:sz w:val="32"/>
          <w:szCs w:val="32"/>
          <w:shd w:val="clear" w:color="auto" w:fill="FFFFFF"/>
        </w:rPr>
        <w:t>植物生长调节剂</w:t>
      </w:r>
      <w:r>
        <w:rPr>
          <w:rFonts w:ascii="仿宋" w:eastAsia="仿宋" w:hAnsi="仿宋" w:cs="Arial" w:hint="eastAsia"/>
          <w:sz w:val="32"/>
          <w:szCs w:val="32"/>
          <w:shd w:val="clear" w:color="auto" w:fill="FFFFFF"/>
        </w:rPr>
        <w:t>，</w:t>
      </w:r>
      <w:r>
        <w:rPr>
          <w:rFonts w:ascii="仿宋" w:eastAsia="仿宋" w:hAnsi="仿宋" w:cs="Arial"/>
          <w:sz w:val="32"/>
          <w:szCs w:val="32"/>
          <w:shd w:val="clear" w:color="auto" w:fill="FFFFFF"/>
        </w:rPr>
        <w:t>可以促进植物体内的生物合成和生物转移，不仅可防止落花落果、</w:t>
      </w:r>
      <w:proofErr w:type="gramStart"/>
      <w:r>
        <w:rPr>
          <w:rFonts w:ascii="仿宋" w:eastAsia="仿宋" w:hAnsi="仿宋" w:cs="Arial"/>
          <w:sz w:val="32"/>
          <w:szCs w:val="32"/>
          <w:shd w:val="clear" w:color="auto" w:fill="FFFFFF"/>
        </w:rPr>
        <w:t>提高做果率</w:t>
      </w:r>
      <w:proofErr w:type="gramEnd"/>
      <w:r>
        <w:rPr>
          <w:rFonts w:ascii="仿宋" w:eastAsia="仿宋" w:hAnsi="仿宋" w:cs="Arial"/>
          <w:sz w:val="32"/>
          <w:szCs w:val="32"/>
          <w:shd w:val="clear" w:color="auto" w:fill="FFFFFF"/>
        </w:rPr>
        <w:t>、增进果实生长速度、促进提前成熟，还能达到改善植物品质</w:t>
      </w:r>
      <w:r>
        <w:rPr>
          <w:rFonts w:ascii="仿宋" w:eastAsia="仿宋" w:hAnsi="仿宋" w:cs="Arial" w:hint="eastAsia"/>
          <w:sz w:val="32"/>
          <w:szCs w:val="32"/>
          <w:shd w:val="clear" w:color="auto" w:fill="FFFFFF"/>
        </w:rPr>
        <w:t>的</w:t>
      </w:r>
      <w:r>
        <w:rPr>
          <w:rFonts w:ascii="仿宋" w:eastAsia="仿宋" w:hAnsi="仿宋" w:cs="Arial"/>
          <w:sz w:val="32"/>
          <w:szCs w:val="32"/>
          <w:shd w:val="clear" w:color="auto" w:fill="FFFFFF"/>
        </w:rPr>
        <w:t>目的，同时它还有除草剂的作用。但由于其对人体有一定积累毒性，国标已取消其作为食品添加剂的生产许可申请。</w:t>
      </w:r>
      <w:r>
        <w:rPr>
          <w:rFonts w:ascii="仿宋" w:eastAsia="仿宋" w:hAnsi="仿宋"/>
          <w:sz w:val="32"/>
          <w:szCs w:val="32"/>
        </w:rPr>
        <w:t>《关于豆芽生产过程中禁止使用</w:t>
      </w:r>
      <w:r>
        <w:rPr>
          <w:rFonts w:ascii="仿宋" w:eastAsia="仿宋" w:hAnsi="仿宋"/>
          <w:sz w:val="32"/>
          <w:szCs w:val="32"/>
        </w:rPr>
        <w:t xml:space="preserve"> 6-</w:t>
      </w:r>
      <w:r>
        <w:rPr>
          <w:rFonts w:ascii="仿宋" w:eastAsia="仿宋" w:hAnsi="仿宋"/>
          <w:sz w:val="32"/>
          <w:szCs w:val="32"/>
        </w:rPr>
        <w:t>苄基腺嘌呤</w:t>
      </w:r>
      <w:r>
        <w:rPr>
          <w:rFonts w:ascii="仿宋" w:eastAsia="仿宋" w:hAnsi="仿宋"/>
          <w:sz w:val="32"/>
          <w:szCs w:val="32"/>
        </w:rPr>
        <w:t xml:space="preserve"> </w:t>
      </w:r>
      <w:r>
        <w:rPr>
          <w:rFonts w:ascii="仿宋" w:eastAsia="仿宋" w:hAnsi="仿宋"/>
          <w:sz w:val="32"/>
          <w:szCs w:val="32"/>
        </w:rPr>
        <w:t>等物质的公告》</w:t>
      </w:r>
      <w:r>
        <w:rPr>
          <w:rFonts w:ascii="仿宋" w:eastAsia="仿宋" w:hAnsi="仿宋" w:cs="宋体"/>
          <w:kern w:val="0"/>
          <w:sz w:val="32"/>
          <w:szCs w:val="32"/>
          <w:lang w:val="zh-CN"/>
        </w:rPr>
        <w:t>(</w:t>
      </w:r>
      <w:r>
        <w:rPr>
          <w:rFonts w:ascii="仿宋" w:eastAsia="仿宋" w:hAnsi="仿宋"/>
          <w:sz w:val="32"/>
          <w:szCs w:val="32"/>
        </w:rPr>
        <w:t>国家食品药品监督管理总局、农业部、国家卫</w:t>
      </w:r>
      <w:r>
        <w:rPr>
          <w:rFonts w:ascii="仿宋" w:eastAsia="仿宋" w:hAnsi="仿宋"/>
          <w:sz w:val="32"/>
          <w:szCs w:val="32"/>
        </w:rPr>
        <w:t xml:space="preserve"> </w:t>
      </w:r>
      <w:r>
        <w:rPr>
          <w:rFonts w:ascii="仿宋" w:eastAsia="仿宋" w:hAnsi="仿宋"/>
          <w:sz w:val="32"/>
          <w:szCs w:val="32"/>
        </w:rPr>
        <w:t>生</w:t>
      </w:r>
      <w:r>
        <w:rPr>
          <w:rFonts w:ascii="仿宋" w:eastAsia="仿宋" w:hAnsi="仿宋"/>
          <w:sz w:val="32"/>
          <w:szCs w:val="32"/>
        </w:rPr>
        <w:lastRenderedPageBreak/>
        <w:t>和计划生育委员会公告</w:t>
      </w:r>
      <w:r>
        <w:rPr>
          <w:rFonts w:ascii="仿宋" w:eastAsia="仿宋" w:hAnsi="仿宋"/>
          <w:sz w:val="32"/>
          <w:szCs w:val="32"/>
        </w:rPr>
        <w:t xml:space="preserve"> 2015 </w:t>
      </w:r>
      <w:r>
        <w:rPr>
          <w:rFonts w:ascii="仿宋" w:eastAsia="仿宋" w:hAnsi="仿宋"/>
          <w:sz w:val="32"/>
          <w:szCs w:val="32"/>
        </w:rPr>
        <w:t>年第</w:t>
      </w:r>
      <w:r>
        <w:rPr>
          <w:rFonts w:ascii="仿宋" w:eastAsia="仿宋" w:hAnsi="仿宋"/>
          <w:sz w:val="32"/>
          <w:szCs w:val="32"/>
        </w:rPr>
        <w:t xml:space="preserve"> 11 </w:t>
      </w:r>
      <w:r>
        <w:rPr>
          <w:rFonts w:ascii="仿宋" w:eastAsia="仿宋" w:hAnsi="仿宋"/>
          <w:sz w:val="32"/>
          <w:szCs w:val="32"/>
        </w:rPr>
        <w:t>号</w:t>
      </w:r>
      <w:r>
        <w:rPr>
          <w:rFonts w:ascii="仿宋" w:eastAsia="仿宋" w:hAnsi="仿宋" w:cs="宋体"/>
          <w:kern w:val="0"/>
          <w:sz w:val="32"/>
          <w:szCs w:val="32"/>
          <w:lang w:val="zh-CN"/>
        </w:rPr>
        <w:t>)</w:t>
      </w:r>
      <w:r>
        <w:rPr>
          <w:rFonts w:ascii="仿宋" w:eastAsia="仿宋" w:hAnsi="仿宋" w:cs="宋体" w:hint="eastAsia"/>
          <w:sz w:val="32"/>
          <w:szCs w:val="32"/>
        </w:rPr>
        <w:t>中要求，豆芽中不得使用</w:t>
      </w:r>
      <w:r>
        <w:rPr>
          <w:rFonts w:ascii="仿宋" w:eastAsia="仿宋" w:hAnsi="仿宋" w:cs="Arial"/>
          <w:sz w:val="32"/>
          <w:szCs w:val="32"/>
          <w:shd w:val="clear" w:color="auto" w:fill="FFFFFF"/>
        </w:rPr>
        <w:t>4-</w:t>
      </w:r>
      <w:r>
        <w:rPr>
          <w:rFonts w:ascii="仿宋" w:eastAsia="仿宋" w:hAnsi="仿宋" w:cs="Arial"/>
          <w:sz w:val="32"/>
          <w:szCs w:val="32"/>
          <w:shd w:val="clear" w:color="auto" w:fill="FFFFFF"/>
        </w:rPr>
        <w:t>氯苯氧乙酸</w:t>
      </w:r>
      <w:r>
        <w:rPr>
          <w:rFonts w:ascii="仿宋" w:eastAsia="仿宋" w:hAnsi="仿宋" w:cs="Arial" w:hint="eastAsia"/>
          <w:sz w:val="32"/>
          <w:szCs w:val="32"/>
          <w:shd w:val="clear" w:color="auto" w:fill="FFFFFF"/>
        </w:rPr>
        <w:t>钠。</w:t>
      </w:r>
      <w:r>
        <w:rPr>
          <w:rFonts w:ascii="仿宋" w:eastAsia="仿宋" w:hAnsi="仿宋" w:cs="Arial"/>
          <w:sz w:val="32"/>
          <w:szCs w:val="32"/>
          <w:shd w:val="clear" w:color="auto" w:fill="FFFFFF"/>
        </w:rPr>
        <w:t>豆芽作为一种食用量非常大的蔬菜，</w:t>
      </w:r>
      <w:r>
        <w:rPr>
          <w:rFonts w:ascii="仿宋" w:eastAsia="仿宋" w:hAnsi="仿宋" w:cs="Arial"/>
          <w:sz w:val="32"/>
          <w:szCs w:val="32"/>
          <w:shd w:val="clear" w:color="auto" w:fill="FFFFFF"/>
        </w:rPr>
        <w:t>4-</w:t>
      </w:r>
      <w:r>
        <w:rPr>
          <w:rFonts w:ascii="仿宋" w:eastAsia="仿宋" w:hAnsi="仿宋" w:cs="Arial"/>
          <w:sz w:val="32"/>
          <w:szCs w:val="32"/>
          <w:shd w:val="clear" w:color="auto" w:fill="FFFFFF"/>
        </w:rPr>
        <w:t>氯苯氧乙酸钠的残留在人体内的累积所产生的</w:t>
      </w:r>
      <w:r>
        <w:rPr>
          <w:rFonts w:ascii="仿宋" w:eastAsia="仿宋" w:hAnsi="仿宋" w:cs="Arial" w:hint="eastAsia"/>
          <w:sz w:val="32"/>
          <w:szCs w:val="32"/>
          <w:shd w:val="clear" w:color="auto" w:fill="FFFFFF"/>
        </w:rPr>
        <w:t>毒</w:t>
      </w:r>
      <w:r>
        <w:rPr>
          <w:rFonts w:ascii="仿宋" w:eastAsia="仿宋" w:hAnsi="仿宋" w:cs="Arial"/>
          <w:sz w:val="32"/>
          <w:szCs w:val="32"/>
          <w:shd w:val="clear" w:color="auto" w:fill="FFFFFF"/>
        </w:rPr>
        <w:t>害作用不容忽视。</w:t>
      </w:r>
    </w:p>
    <w:p w:rsidR="007A1CD8" w:rsidRDefault="00A96F53">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6</w:t>
      </w:r>
      <w:r>
        <w:rPr>
          <w:rFonts w:ascii="楷体" w:eastAsia="楷体" w:hAnsi="楷体" w:cs="仿宋_GB2312" w:hint="eastAsia"/>
          <w:b/>
          <w:sz w:val="32"/>
          <w:szCs w:val="32"/>
        </w:rPr>
        <w:t>、</w:t>
      </w:r>
      <w:proofErr w:type="gramStart"/>
      <w:r>
        <w:rPr>
          <w:rFonts w:ascii="楷体" w:eastAsia="楷体" w:hAnsi="楷体" w:hint="eastAsia"/>
          <w:b/>
          <w:sz w:val="32"/>
          <w:szCs w:val="32"/>
        </w:rPr>
        <w:t>恩诺沙</w:t>
      </w:r>
      <w:proofErr w:type="gramEnd"/>
      <w:r>
        <w:rPr>
          <w:rFonts w:ascii="楷体" w:eastAsia="楷体" w:hAnsi="楷体" w:hint="eastAsia"/>
          <w:b/>
          <w:sz w:val="32"/>
          <w:szCs w:val="32"/>
        </w:rPr>
        <w:t>星</w:t>
      </w:r>
    </w:p>
    <w:p w:rsidR="007A1CD8" w:rsidRDefault="00A96F53">
      <w:pPr>
        <w:ind w:firstLineChars="200" w:firstLine="640"/>
        <w:rPr>
          <w:rFonts w:ascii="仿宋" w:eastAsia="仿宋" w:hAnsi="仿宋"/>
          <w:sz w:val="32"/>
          <w:szCs w:val="32"/>
        </w:rPr>
      </w:pPr>
      <w:proofErr w:type="gramStart"/>
      <w:r>
        <w:rPr>
          <w:rFonts w:ascii="仿宋" w:eastAsia="仿宋" w:hAnsi="仿宋" w:hint="eastAsia"/>
          <w:sz w:val="32"/>
          <w:szCs w:val="32"/>
        </w:rPr>
        <w:t>恩诺沙星属于氟喹</w:t>
      </w:r>
      <w:proofErr w:type="gramEnd"/>
      <w:r>
        <w:rPr>
          <w:rFonts w:ascii="仿宋" w:eastAsia="仿宋" w:hAnsi="仿宋" w:hint="eastAsia"/>
          <w:sz w:val="32"/>
          <w:szCs w:val="32"/>
        </w:rPr>
        <w:t>诺酮类药物，是一类人工合成的广谱抗菌药，用于治疗动物的皮肤感染、呼吸道感染等，是动物专属用药。《动物性食品中兽药最高残留限量》（农业部公告第</w:t>
      </w:r>
      <w:r>
        <w:rPr>
          <w:rFonts w:ascii="仿宋" w:eastAsia="仿宋" w:hAnsi="仿宋"/>
          <w:sz w:val="32"/>
          <w:szCs w:val="32"/>
        </w:rPr>
        <w:t>235</w:t>
      </w:r>
      <w:r>
        <w:rPr>
          <w:rFonts w:ascii="仿宋" w:eastAsia="仿宋" w:hAnsi="仿宋" w:hint="eastAsia"/>
          <w:sz w:val="32"/>
          <w:szCs w:val="32"/>
        </w:rPr>
        <w:t>号）中规定，</w:t>
      </w:r>
      <w:proofErr w:type="gramStart"/>
      <w:r>
        <w:rPr>
          <w:rFonts w:ascii="仿宋" w:eastAsia="仿宋" w:hAnsi="仿宋" w:hint="eastAsia"/>
          <w:sz w:val="32"/>
          <w:szCs w:val="32"/>
        </w:rPr>
        <w:t>恩诺沙</w:t>
      </w:r>
      <w:proofErr w:type="gramEnd"/>
      <w:r>
        <w:rPr>
          <w:rFonts w:ascii="仿宋" w:eastAsia="仿宋" w:hAnsi="仿宋" w:hint="eastAsia"/>
          <w:sz w:val="32"/>
          <w:szCs w:val="32"/>
        </w:rPr>
        <w:t>星（最大残留限量以</w:t>
      </w:r>
      <w:proofErr w:type="gramStart"/>
      <w:r>
        <w:rPr>
          <w:rFonts w:ascii="仿宋" w:eastAsia="仿宋" w:hAnsi="仿宋" w:hint="eastAsia"/>
          <w:sz w:val="32"/>
          <w:szCs w:val="32"/>
        </w:rPr>
        <w:t>恩诺沙</w:t>
      </w:r>
      <w:proofErr w:type="gramEnd"/>
      <w:r>
        <w:rPr>
          <w:rFonts w:ascii="仿宋" w:eastAsia="仿宋" w:hAnsi="仿宋" w:hint="eastAsia"/>
          <w:sz w:val="32"/>
          <w:szCs w:val="32"/>
        </w:rPr>
        <w:t>星和环丙沙星之和计）在产蛋鸡中禁用（鸡蛋中不得检出）。正常情况下消费者不必对鸡蛋中检出</w:t>
      </w:r>
      <w:proofErr w:type="gramStart"/>
      <w:r>
        <w:rPr>
          <w:rFonts w:ascii="仿宋" w:eastAsia="仿宋" w:hAnsi="仿宋" w:hint="eastAsia"/>
          <w:sz w:val="32"/>
          <w:szCs w:val="32"/>
        </w:rPr>
        <w:t>恩诺沙</w:t>
      </w:r>
      <w:proofErr w:type="gramEnd"/>
      <w:r>
        <w:rPr>
          <w:rFonts w:ascii="仿宋" w:eastAsia="仿宋" w:hAnsi="仿宋" w:hint="eastAsia"/>
          <w:sz w:val="32"/>
          <w:szCs w:val="32"/>
        </w:rPr>
        <w:t>星过分担心，但长期食用</w:t>
      </w:r>
      <w:proofErr w:type="gramStart"/>
      <w:r>
        <w:rPr>
          <w:rFonts w:ascii="仿宋" w:eastAsia="仿宋" w:hAnsi="仿宋" w:hint="eastAsia"/>
          <w:sz w:val="32"/>
          <w:szCs w:val="32"/>
        </w:rPr>
        <w:t>恩诺沙</w:t>
      </w:r>
      <w:proofErr w:type="gramEnd"/>
      <w:r>
        <w:rPr>
          <w:rFonts w:ascii="仿宋" w:eastAsia="仿宋" w:hAnsi="仿宋" w:hint="eastAsia"/>
          <w:sz w:val="32"/>
          <w:szCs w:val="32"/>
        </w:rPr>
        <w:t>星残留量较高的蛋品，对人体健康有一定风险。</w:t>
      </w:r>
    </w:p>
    <w:p w:rsidR="007A1CD8" w:rsidRDefault="00A96F53">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7</w:t>
      </w:r>
      <w:r>
        <w:rPr>
          <w:rFonts w:ascii="楷体" w:eastAsia="楷体" w:hAnsi="楷体" w:cs="仿宋_GB2312" w:hint="eastAsia"/>
          <w:b/>
          <w:sz w:val="32"/>
          <w:szCs w:val="32"/>
        </w:rPr>
        <w:t>、</w:t>
      </w:r>
      <w:r>
        <w:rPr>
          <w:rFonts w:ascii="楷体" w:eastAsia="楷体" w:hAnsi="楷体" w:hint="eastAsia"/>
          <w:b/>
          <w:sz w:val="32"/>
          <w:szCs w:val="32"/>
        </w:rPr>
        <w:t>呋喃</w:t>
      </w:r>
      <w:proofErr w:type="gramStart"/>
      <w:r>
        <w:rPr>
          <w:rFonts w:ascii="楷体" w:eastAsia="楷体" w:hAnsi="楷体" w:hint="eastAsia"/>
          <w:b/>
          <w:sz w:val="32"/>
          <w:szCs w:val="32"/>
        </w:rPr>
        <w:t>唑</w:t>
      </w:r>
      <w:proofErr w:type="gramEnd"/>
      <w:r>
        <w:rPr>
          <w:rFonts w:ascii="楷体" w:eastAsia="楷体" w:hAnsi="楷体" w:hint="eastAsia"/>
          <w:b/>
          <w:sz w:val="32"/>
          <w:szCs w:val="32"/>
        </w:rPr>
        <w:t>酮代谢物</w:t>
      </w:r>
    </w:p>
    <w:p w:rsidR="007A1CD8" w:rsidRDefault="00A96F53">
      <w:pPr>
        <w:pStyle w:val="2"/>
        <w:ind w:firstLine="640"/>
        <w:rPr>
          <w:rFonts w:ascii="仿宋" w:eastAsia="仿宋" w:hAnsi="仿宋"/>
          <w:sz w:val="32"/>
          <w:szCs w:val="32"/>
        </w:rPr>
      </w:pPr>
      <w:r>
        <w:rPr>
          <w:rFonts w:ascii="仿宋" w:eastAsia="仿宋" w:hAnsi="仿宋"/>
          <w:sz w:val="32"/>
          <w:szCs w:val="32"/>
        </w:rPr>
        <w:t>呋喃</w:t>
      </w:r>
      <w:proofErr w:type="gramStart"/>
      <w:r>
        <w:rPr>
          <w:rFonts w:ascii="仿宋" w:eastAsia="仿宋" w:hAnsi="仿宋"/>
          <w:sz w:val="32"/>
          <w:szCs w:val="32"/>
        </w:rPr>
        <w:t>唑</w:t>
      </w:r>
      <w:proofErr w:type="gramEnd"/>
      <w:r>
        <w:rPr>
          <w:rFonts w:ascii="仿宋" w:eastAsia="仿宋" w:hAnsi="仿宋"/>
          <w:sz w:val="32"/>
          <w:szCs w:val="32"/>
        </w:rPr>
        <w:t>酮是属于硝基呋喃类广谱抗生素，</w:t>
      </w:r>
      <w:r>
        <w:rPr>
          <w:rFonts w:ascii="仿宋" w:eastAsia="仿宋" w:hAnsi="仿宋" w:hint="eastAsia"/>
          <w:sz w:val="32"/>
          <w:szCs w:val="32"/>
        </w:rPr>
        <w:t>曾</w:t>
      </w:r>
      <w:r>
        <w:rPr>
          <w:rFonts w:ascii="仿宋" w:eastAsia="仿宋" w:hAnsi="仿宋"/>
          <w:sz w:val="32"/>
          <w:szCs w:val="32"/>
        </w:rPr>
        <w:t>广泛应用于畜禽及水产养殖业。硝基呋喃类原型药在生物体内代谢迅速，和蛋白质结合后相当稳定</w:t>
      </w:r>
      <w:r>
        <w:rPr>
          <w:rFonts w:ascii="仿宋" w:eastAsia="仿宋" w:hAnsi="仿宋"/>
          <w:sz w:val="32"/>
          <w:szCs w:val="32"/>
        </w:rPr>
        <w:t>，故常利用对其代谢物的检测来</w:t>
      </w:r>
      <w:r>
        <w:rPr>
          <w:rFonts w:ascii="仿宋" w:eastAsia="仿宋" w:hAnsi="仿宋" w:hint="eastAsia"/>
          <w:sz w:val="32"/>
          <w:szCs w:val="32"/>
        </w:rPr>
        <w:t>反映</w:t>
      </w:r>
      <w:r>
        <w:rPr>
          <w:rFonts w:ascii="仿宋" w:eastAsia="仿宋" w:hAnsi="仿宋"/>
          <w:sz w:val="32"/>
          <w:szCs w:val="32"/>
        </w:rPr>
        <w:t>硝基呋喃类药物的残留状况。《动物性食品中兽药最高残留限量》（农业部公告第</w:t>
      </w:r>
      <w:r>
        <w:rPr>
          <w:rFonts w:ascii="仿宋" w:eastAsia="仿宋" w:hAnsi="仿宋"/>
          <w:sz w:val="32"/>
          <w:szCs w:val="32"/>
        </w:rPr>
        <w:t>235</w:t>
      </w:r>
      <w:r>
        <w:rPr>
          <w:rFonts w:ascii="仿宋" w:eastAsia="仿宋" w:hAnsi="仿宋"/>
          <w:sz w:val="32"/>
          <w:szCs w:val="32"/>
        </w:rPr>
        <w:t>号）中规定</w:t>
      </w:r>
      <w:r>
        <w:rPr>
          <w:rFonts w:ascii="仿宋" w:eastAsia="仿宋" w:hAnsi="仿宋" w:hint="eastAsia"/>
          <w:sz w:val="32"/>
          <w:szCs w:val="32"/>
        </w:rPr>
        <w:t>，</w:t>
      </w:r>
      <w:r>
        <w:rPr>
          <w:rFonts w:ascii="仿宋" w:eastAsia="仿宋" w:hAnsi="仿宋"/>
          <w:sz w:val="32"/>
          <w:szCs w:val="32"/>
        </w:rPr>
        <w:t>硝基呋喃类药物及其代谢物为禁止使用的药物，在动物性食品中均不得检出。硝基呋喃类药物及其代谢物可引起</w:t>
      </w:r>
      <w:r>
        <w:rPr>
          <w:rFonts w:ascii="仿宋" w:eastAsia="仿宋" w:hAnsi="仿宋" w:hint="eastAsia"/>
          <w:sz w:val="32"/>
          <w:szCs w:val="32"/>
        </w:rPr>
        <w:t>人体</w:t>
      </w:r>
      <w:r>
        <w:rPr>
          <w:rFonts w:ascii="仿宋" w:eastAsia="仿宋" w:hAnsi="仿宋"/>
          <w:sz w:val="32"/>
          <w:szCs w:val="32"/>
        </w:rPr>
        <w:t>溶血性贫血、多发性神经炎、眼部损害和急性肝坏死等</w:t>
      </w:r>
      <w:r>
        <w:rPr>
          <w:rFonts w:ascii="仿宋" w:eastAsia="仿宋" w:hAnsi="仿宋" w:hint="eastAsia"/>
          <w:sz w:val="32"/>
          <w:szCs w:val="32"/>
        </w:rPr>
        <w:t>病症及</w:t>
      </w:r>
      <w:r>
        <w:rPr>
          <w:rFonts w:ascii="仿宋" w:eastAsia="仿宋" w:hAnsi="仿宋"/>
          <w:sz w:val="32"/>
          <w:szCs w:val="32"/>
        </w:rPr>
        <w:t>致癌、致</w:t>
      </w:r>
      <w:proofErr w:type="gramStart"/>
      <w:r>
        <w:rPr>
          <w:rFonts w:ascii="仿宋" w:eastAsia="仿宋" w:hAnsi="仿宋"/>
          <w:sz w:val="32"/>
          <w:szCs w:val="32"/>
        </w:rPr>
        <w:t>畸</w:t>
      </w:r>
      <w:proofErr w:type="gramEnd"/>
      <w:r>
        <w:rPr>
          <w:rFonts w:ascii="仿宋" w:eastAsia="仿宋" w:hAnsi="仿宋" w:hint="eastAsia"/>
          <w:sz w:val="32"/>
          <w:szCs w:val="32"/>
        </w:rPr>
        <w:t>等健康危害。</w:t>
      </w:r>
    </w:p>
    <w:p w:rsidR="007A1CD8" w:rsidRPr="00A96F53" w:rsidRDefault="00A96F53" w:rsidP="00A96F53">
      <w:pPr>
        <w:spacing w:line="560" w:lineRule="exact"/>
        <w:ind w:firstLineChars="200" w:firstLine="643"/>
        <w:rPr>
          <w:rFonts w:ascii="仿宋" w:eastAsia="仿宋" w:hAnsi="仿宋" w:cs="Times New Roman"/>
          <w:sz w:val="32"/>
          <w:szCs w:val="32"/>
        </w:rPr>
      </w:pPr>
      <w:r>
        <w:rPr>
          <w:rFonts w:ascii="楷体" w:eastAsia="楷体" w:hAnsi="楷体" w:cs="仿宋_GB2312"/>
          <w:b/>
          <w:sz w:val="32"/>
          <w:szCs w:val="32"/>
        </w:rPr>
        <w:lastRenderedPageBreak/>
        <w:t>8</w:t>
      </w:r>
      <w:r>
        <w:rPr>
          <w:rFonts w:ascii="楷体" w:eastAsia="楷体" w:hAnsi="楷体" w:cs="仿宋_GB2312" w:hint="eastAsia"/>
          <w:b/>
          <w:sz w:val="32"/>
          <w:szCs w:val="32"/>
        </w:rPr>
        <w:t>、</w:t>
      </w:r>
      <w:r>
        <w:rPr>
          <w:rFonts w:ascii="楷体" w:eastAsia="楷体" w:hAnsi="楷体" w:hint="eastAsia"/>
          <w:b/>
          <w:sz w:val="32"/>
          <w:szCs w:val="32"/>
        </w:rPr>
        <w:t>氧氟沙星</w:t>
      </w:r>
    </w:p>
    <w:p w:rsidR="007A1CD8" w:rsidRDefault="00A96F53">
      <w:pPr>
        <w:spacing w:line="600" w:lineRule="exact"/>
        <w:ind w:firstLineChars="200" w:firstLine="640"/>
        <w:rPr>
          <w:rFonts w:ascii="仿宋" w:eastAsia="仿宋" w:hAnsi="仿宋"/>
          <w:spacing w:val="-12"/>
          <w:sz w:val="32"/>
          <w:szCs w:val="32"/>
        </w:rPr>
      </w:pPr>
      <w:r>
        <w:rPr>
          <w:rFonts w:ascii="仿宋" w:eastAsia="仿宋" w:hAnsi="仿宋"/>
          <w:sz w:val="32"/>
          <w:szCs w:val="32"/>
        </w:rPr>
        <w:t>氧氟沙星属于</w:t>
      </w:r>
      <w:proofErr w:type="gramStart"/>
      <w:r>
        <w:rPr>
          <w:rFonts w:ascii="仿宋" w:eastAsia="仿宋" w:hAnsi="仿宋"/>
          <w:sz w:val="32"/>
          <w:szCs w:val="32"/>
        </w:rPr>
        <w:t>喹</w:t>
      </w:r>
      <w:proofErr w:type="gramEnd"/>
      <w:r>
        <w:rPr>
          <w:rFonts w:ascii="仿宋" w:eastAsia="仿宋" w:hAnsi="仿宋"/>
          <w:sz w:val="32"/>
          <w:szCs w:val="32"/>
        </w:rPr>
        <w:t>诺酮类抗生素，具有广谱抗菌作用，抗菌作用强。《发布在食品动物中停止使用洛美沙星、培氟沙星、氧氟沙星、诺氟沙星</w:t>
      </w:r>
      <w:r>
        <w:rPr>
          <w:rFonts w:ascii="仿宋" w:eastAsia="仿宋" w:hAnsi="仿宋"/>
          <w:sz w:val="32"/>
          <w:szCs w:val="32"/>
        </w:rPr>
        <w:t>4</w:t>
      </w:r>
      <w:r>
        <w:rPr>
          <w:rFonts w:ascii="仿宋" w:eastAsia="仿宋" w:hAnsi="仿宋"/>
          <w:sz w:val="32"/>
          <w:szCs w:val="32"/>
        </w:rPr>
        <w:t>种兽药的决定》（农业部公告第</w:t>
      </w:r>
      <w:r>
        <w:rPr>
          <w:rFonts w:ascii="仿宋" w:eastAsia="仿宋" w:hAnsi="仿宋"/>
          <w:sz w:val="32"/>
          <w:szCs w:val="32"/>
        </w:rPr>
        <w:t>2292</w:t>
      </w:r>
      <w:r>
        <w:rPr>
          <w:rFonts w:ascii="仿宋" w:eastAsia="仿宋" w:hAnsi="仿宋"/>
          <w:sz w:val="32"/>
          <w:szCs w:val="32"/>
        </w:rPr>
        <w:t>号）中规定，自</w:t>
      </w:r>
      <w:r>
        <w:rPr>
          <w:rFonts w:ascii="仿宋" w:eastAsia="仿宋" w:hAnsi="仿宋"/>
          <w:sz w:val="32"/>
          <w:szCs w:val="32"/>
        </w:rPr>
        <w:t>2016</w:t>
      </w:r>
      <w:r>
        <w:rPr>
          <w:rFonts w:ascii="仿宋" w:eastAsia="仿宋" w:hAnsi="仿宋"/>
          <w:sz w:val="32"/>
          <w:szCs w:val="32"/>
        </w:rPr>
        <w:t>年</w:t>
      </w:r>
      <w:r>
        <w:rPr>
          <w:rFonts w:ascii="仿宋" w:eastAsia="仿宋" w:hAnsi="仿宋"/>
          <w:sz w:val="32"/>
          <w:szCs w:val="32"/>
        </w:rPr>
        <w:t>12</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日起，停止经营、使用于食品动物的包括氧氟沙星在内的</w:t>
      </w:r>
      <w:r>
        <w:rPr>
          <w:rFonts w:ascii="仿宋" w:eastAsia="仿宋" w:hAnsi="仿宋"/>
          <w:sz w:val="32"/>
          <w:szCs w:val="32"/>
        </w:rPr>
        <w:t>4</w:t>
      </w:r>
      <w:r>
        <w:rPr>
          <w:rFonts w:ascii="仿宋" w:eastAsia="仿宋" w:hAnsi="仿宋"/>
          <w:sz w:val="32"/>
          <w:szCs w:val="32"/>
        </w:rPr>
        <w:t>种原料药的各种盐、</w:t>
      </w:r>
      <w:proofErr w:type="gramStart"/>
      <w:r>
        <w:rPr>
          <w:rFonts w:ascii="仿宋" w:eastAsia="仿宋" w:hAnsi="仿宋"/>
          <w:sz w:val="32"/>
          <w:szCs w:val="32"/>
        </w:rPr>
        <w:t>酯及其</w:t>
      </w:r>
      <w:proofErr w:type="gramEnd"/>
      <w:r>
        <w:rPr>
          <w:rFonts w:ascii="仿宋" w:eastAsia="仿宋" w:hAnsi="仿宋"/>
          <w:sz w:val="32"/>
          <w:szCs w:val="32"/>
        </w:rPr>
        <w:t>各种制剂。长期食用氧氟沙星残留超标的动物食品，可能会造成部分人体敏感菌群会受到抑制或杀死，从而使人体内微生物群的动态平衡被破坏，损害人体健康。</w:t>
      </w:r>
    </w:p>
    <w:p w:rsidR="007A1CD8" w:rsidRDefault="00A96F53">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9</w:t>
      </w:r>
      <w:r>
        <w:rPr>
          <w:rFonts w:ascii="楷体" w:eastAsia="楷体" w:hAnsi="楷体" w:cs="仿宋_GB2312" w:hint="eastAsia"/>
          <w:b/>
          <w:sz w:val="32"/>
          <w:szCs w:val="32"/>
        </w:rPr>
        <w:t>、酒精度</w:t>
      </w:r>
    </w:p>
    <w:p w:rsidR="007A1CD8" w:rsidRDefault="00A96F53">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sz w:val="32"/>
          <w:szCs w:val="32"/>
        </w:rPr>
        <w:t>酒精度又叫酒度，是白酒的</w:t>
      </w:r>
      <w:r>
        <w:rPr>
          <w:rFonts w:ascii="仿宋" w:eastAsia="仿宋" w:hAnsi="仿宋"/>
          <w:sz w:val="32"/>
          <w:szCs w:val="32"/>
        </w:rPr>
        <w:t>一</w:t>
      </w:r>
      <w:r>
        <w:rPr>
          <w:rFonts w:ascii="仿宋" w:eastAsia="仿宋" w:hAnsi="仿宋" w:hint="eastAsia"/>
          <w:sz w:val="32"/>
          <w:szCs w:val="32"/>
        </w:rPr>
        <w:t>项</w:t>
      </w:r>
      <w:r>
        <w:rPr>
          <w:rFonts w:ascii="仿宋" w:eastAsia="仿宋" w:hAnsi="仿宋"/>
          <w:sz w:val="32"/>
          <w:szCs w:val="32"/>
        </w:rPr>
        <w:t>理化指标，是指在</w:t>
      </w:r>
      <w:r>
        <w:rPr>
          <w:rFonts w:ascii="仿宋" w:eastAsia="仿宋" w:hAnsi="仿宋"/>
          <w:sz w:val="32"/>
          <w:szCs w:val="32"/>
        </w:rPr>
        <w:t>20</w:t>
      </w:r>
      <w:r>
        <w:rPr>
          <w:rFonts w:ascii="仿宋" w:eastAsia="仿宋" w:hAnsi="仿宋" w:hint="eastAsia"/>
          <w:sz w:val="32"/>
          <w:szCs w:val="32"/>
        </w:rPr>
        <w:t>℃</w:t>
      </w:r>
      <w:r>
        <w:rPr>
          <w:rFonts w:ascii="仿宋" w:eastAsia="仿宋" w:hAnsi="仿宋"/>
          <w:sz w:val="32"/>
          <w:szCs w:val="32"/>
        </w:rPr>
        <w:t>时，</w:t>
      </w:r>
      <w:r>
        <w:rPr>
          <w:rFonts w:ascii="仿宋" w:eastAsia="仿宋" w:hAnsi="仿宋"/>
          <w:sz w:val="32"/>
          <w:szCs w:val="32"/>
        </w:rPr>
        <w:t>100</w:t>
      </w:r>
      <w:r>
        <w:rPr>
          <w:rFonts w:ascii="仿宋" w:eastAsia="仿宋" w:hAnsi="仿宋"/>
          <w:sz w:val="32"/>
          <w:szCs w:val="32"/>
        </w:rPr>
        <w:t>毫升白酒中含有乙醇（酒精</w:t>
      </w:r>
      <w:r>
        <w:rPr>
          <w:rFonts w:ascii="仿宋" w:eastAsia="仿宋" w:hAnsi="仿宋"/>
          <w:sz w:val="32"/>
          <w:szCs w:val="32"/>
        </w:rPr>
        <w:t>）的毫升数，即体积（容量）的百分数。产品明示执行标准</w:t>
      </w:r>
      <w:r>
        <w:rPr>
          <w:rFonts w:ascii="仿宋" w:eastAsia="仿宋" w:hAnsi="仿宋" w:hint="eastAsia"/>
          <w:sz w:val="32"/>
          <w:szCs w:val="32"/>
        </w:rPr>
        <w:t>《固液法白酒》</w:t>
      </w:r>
      <w:r>
        <w:rPr>
          <w:rFonts w:ascii="仿宋" w:eastAsia="仿宋" w:hAnsi="仿宋"/>
          <w:sz w:val="32"/>
          <w:szCs w:val="32"/>
        </w:rPr>
        <w:t>（</w:t>
      </w:r>
      <w:r>
        <w:rPr>
          <w:rFonts w:ascii="仿宋" w:eastAsia="仿宋" w:hAnsi="仿宋"/>
          <w:sz w:val="32"/>
          <w:szCs w:val="32"/>
        </w:rPr>
        <w:t>GB/T 20822-2007</w:t>
      </w:r>
      <w:r>
        <w:rPr>
          <w:rFonts w:ascii="仿宋" w:eastAsia="仿宋" w:hAnsi="仿宋"/>
          <w:sz w:val="32"/>
          <w:szCs w:val="32"/>
        </w:rPr>
        <w:t>）中规定，酒精度实测值与标签标示</w:t>
      </w:r>
      <w:proofErr w:type="gramStart"/>
      <w:r>
        <w:rPr>
          <w:rFonts w:ascii="仿宋" w:eastAsia="仿宋" w:hAnsi="仿宋"/>
          <w:sz w:val="32"/>
          <w:szCs w:val="32"/>
        </w:rPr>
        <w:t>值允许差</w:t>
      </w:r>
      <w:proofErr w:type="gramEnd"/>
      <w:r>
        <w:rPr>
          <w:rFonts w:ascii="仿宋" w:eastAsia="仿宋" w:hAnsi="仿宋"/>
          <w:sz w:val="32"/>
          <w:szCs w:val="32"/>
        </w:rPr>
        <w:t>为</w:t>
      </w:r>
      <w:r>
        <w:rPr>
          <w:rFonts w:ascii="仿宋" w:eastAsia="仿宋" w:hAnsi="仿宋" w:hint="eastAsia"/>
          <w:sz w:val="32"/>
          <w:szCs w:val="32"/>
        </w:rPr>
        <w:t>42(</w:t>
      </w:r>
      <w:r>
        <w:rPr>
          <w:rFonts w:ascii="仿宋" w:eastAsia="仿宋" w:hAnsi="仿宋" w:hint="eastAsia"/>
          <w:sz w:val="32"/>
          <w:szCs w:val="32"/>
        </w:rPr>
        <w:t>标示值</w:t>
      </w:r>
      <w:r>
        <w:rPr>
          <w:rFonts w:ascii="仿宋" w:eastAsia="仿宋" w:hAnsi="仿宋" w:hint="eastAsia"/>
          <w:sz w:val="32"/>
          <w:szCs w:val="32"/>
        </w:rPr>
        <w:t>)</w:t>
      </w:r>
      <w:r>
        <w:rPr>
          <w:rFonts w:ascii="仿宋" w:eastAsia="仿宋" w:hAnsi="仿宋"/>
          <w:sz w:val="32"/>
          <w:szCs w:val="32"/>
        </w:rPr>
        <w:t>±1.0%vol</w:t>
      </w:r>
      <w:r>
        <w:rPr>
          <w:rFonts w:ascii="仿宋" w:eastAsia="仿宋" w:hAnsi="仿宋"/>
          <w:sz w:val="32"/>
          <w:szCs w:val="32"/>
        </w:rPr>
        <w:t>。</w:t>
      </w:r>
      <w:r>
        <w:rPr>
          <w:rFonts w:ascii="仿宋" w:eastAsia="仿宋" w:hAnsi="仿宋" w:hint="eastAsia"/>
          <w:sz w:val="32"/>
          <w:szCs w:val="32"/>
        </w:rPr>
        <w:t>酒中酒精度不达标会影响酒类的品质及口感，此外由于产品实际酒精度与明示指标不符也可能对消费者构成欺骗行为。</w:t>
      </w:r>
    </w:p>
    <w:p w:rsidR="007A1CD8" w:rsidRDefault="00A96F53">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10</w:t>
      </w:r>
      <w:r>
        <w:rPr>
          <w:rFonts w:ascii="楷体" w:eastAsia="楷体" w:hAnsi="楷体" w:cs="仿宋_GB2312" w:hint="eastAsia"/>
          <w:b/>
          <w:sz w:val="32"/>
          <w:szCs w:val="32"/>
        </w:rPr>
        <w:t>、菌落总数</w:t>
      </w:r>
    </w:p>
    <w:p w:rsidR="007A1CD8" w:rsidRDefault="00A96F53">
      <w:pPr>
        <w:spacing w:line="560" w:lineRule="exact"/>
        <w:ind w:firstLineChars="200" w:firstLine="640"/>
        <w:rPr>
          <w:rFonts w:ascii="仿宋" w:eastAsia="仿宋" w:hAnsi="仿宋"/>
          <w:sz w:val="32"/>
          <w:szCs w:val="32"/>
        </w:rPr>
      </w:pPr>
      <w:r>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菌落总数是指示性微生物指标，并非致病菌指标，主要用来评价食品清洁度，反映食品在生产过程中是否符合卫生要求，一定程度上标志着食品卫生质量的优劣。《鸡精调味料》（</w:t>
      </w:r>
      <w:r>
        <w:rPr>
          <w:rFonts w:ascii="仿宋" w:eastAsia="仿宋" w:hAnsi="仿宋"/>
          <w:sz w:val="32"/>
          <w:szCs w:val="32"/>
        </w:rPr>
        <w:t>SB/T 10371-2003</w:t>
      </w:r>
      <w:r>
        <w:rPr>
          <w:rFonts w:ascii="仿宋" w:eastAsia="仿宋" w:hAnsi="仿宋" w:hint="eastAsia"/>
          <w:sz w:val="32"/>
          <w:szCs w:val="32"/>
        </w:rPr>
        <w:t>）中规定</w:t>
      </w:r>
      <w:r>
        <w:rPr>
          <w:rFonts w:ascii="仿宋" w:eastAsia="仿宋" w:hAnsi="仿宋"/>
          <w:sz w:val="32"/>
          <w:szCs w:val="32"/>
        </w:rPr>
        <w:t>，</w:t>
      </w:r>
      <w:r>
        <w:rPr>
          <w:rFonts w:ascii="仿宋" w:eastAsia="仿宋" w:hAnsi="仿宋" w:hint="eastAsia"/>
          <w:sz w:val="32"/>
          <w:szCs w:val="32"/>
        </w:rPr>
        <w:t>鸡精调味料的菌落总数</w:t>
      </w:r>
      <w:r>
        <w:rPr>
          <w:rFonts w:ascii="仿宋" w:eastAsia="仿宋" w:hAnsi="仿宋" w:hint="eastAsia"/>
          <w:sz w:val="32"/>
          <w:szCs w:val="32"/>
        </w:rPr>
        <w:t>应≤</w:t>
      </w:r>
      <w:r>
        <w:rPr>
          <w:rFonts w:ascii="仿宋" w:eastAsia="仿宋" w:hAnsi="仿宋" w:hint="eastAsia"/>
          <w:sz w:val="32"/>
          <w:szCs w:val="32"/>
        </w:rPr>
        <w:t>100</w:t>
      </w:r>
      <w:r>
        <w:rPr>
          <w:rFonts w:ascii="仿宋" w:eastAsia="仿宋" w:hAnsi="仿宋"/>
          <w:sz w:val="32"/>
          <w:szCs w:val="32"/>
        </w:rPr>
        <w:t>00cfu/g</w:t>
      </w:r>
      <w:r>
        <w:rPr>
          <w:rFonts w:ascii="仿宋" w:eastAsia="仿宋" w:hAnsi="仿宋"/>
          <w:sz w:val="32"/>
          <w:szCs w:val="32"/>
        </w:rPr>
        <w:t>。</w:t>
      </w:r>
      <w:r>
        <w:rPr>
          <w:rFonts w:ascii="仿宋" w:eastAsia="仿宋" w:hAnsi="仿宋" w:hint="eastAsia"/>
          <w:sz w:val="32"/>
          <w:szCs w:val="32"/>
        </w:rPr>
        <w:t>如果食品的菌落总数严重超标，将会破坏食品的营养成分，加速食品的腐败变质，使食品失去食用价</w:t>
      </w:r>
      <w:r>
        <w:rPr>
          <w:rFonts w:ascii="仿宋" w:eastAsia="仿宋" w:hAnsi="仿宋" w:hint="eastAsia"/>
          <w:sz w:val="32"/>
          <w:szCs w:val="32"/>
        </w:rPr>
        <w:lastRenderedPageBreak/>
        <w:t>值，并且食用菌落总数超标的食品也可能会引起食源性疾病。</w:t>
      </w:r>
    </w:p>
    <w:p w:rsidR="007A1CD8" w:rsidRDefault="00A96F53">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11</w:t>
      </w:r>
      <w:r>
        <w:rPr>
          <w:rFonts w:ascii="楷体" w:eastAsia="楷体" w:hAnsi="楷体" w:cs="仿宋_GB2312" w:hint="eastAsia"/>
          <w:b/>
          <w:sz w:val="32"/>
          <w:szCs w:val="32"/>
        </w:rPr>
        <w:t>、铅</w:t>
      </w:r>
    </w:p>
    <w:p w:rsidR="007A1CD8" w:rsidRDefault="00A96F53">
      <w:pPr>
        <w:ind w:firstLineChars="200" w:firstLine="640"/>
        <w:rPr>
          <w:rFonts w:ascii="仿宋" w:eastAsia="仿宋" w:hAnsi="仿宋"/>
          <w:sz w:val="32"/>
          <w:szCs w:val="32"/>
        </w:rPr>
      </w:pPr>
      <w:r>
        <w:rPr>
          <w:rFonts w:ascii="仿宋" w:eastAsia="仿宋" w:hAnsi="仿宋" w:hint="eastAsia"/>
          <w:sz w:val="32"/>
          <w:szCs w:val="32"/>
        </w:rPr>
        <w:t>铅是一种能够在生物体内蓄积且排除缓慢的重金属污染物。</w:t>
      </w:r>
      <w:r>
        <w:rPr>
          <w:rFonts w:ascii="仿宋" w:eastAsia="仿宋" w:hAnsi="仿宋"/>
          <w:sz w:val="32"/>
          <w:szCs w:val="32"/>
        </w:rPr>
        <w:t>《食品安全国家标准</w:t>
      </w:r>
      <w:r>
        <w:rPr>
          <w:rFonts w:ascii="仿宋" w:eastAsia="仿宋" w:hAnsi="仿宋"/>
          <w:sz w:val="32"/>
          <w:szCs w:val="32"/>
        </w:rPr>
        <w:t xml:space="preserve"> </w:t>
      </w:r>
      <w:r>
        <w:rPr>
          <w:rFonts w:ascii="仿宋" w:eastAsia="仿宋" w:hAnsi="仿宋"/>
          <w:sz w:val="32"/>
          <w:szCs w:val="32"/>
        </w:rPr>
        <w:t>食品中污染物限量》（</w:t>
      </w:r>
      <w:r>
        <w:rPr>
          <w:rFonts w:ascii="仿宋" w:eastAsia="仿宋" w:hAnsi="仿宋"/>
          <w:sz w:val="32"/>
          <w:szCs w:val="32"/>
        </w:rPr>
        <w:t>GB 2762</w:t>
      </w:r>
      <w:r>
        <w:rPr>
          <w:rFonts w:ascii="仿宋" w:eastAsia="仿宋" w:hAnsi="仿宋" w:hint="eastAsia"/>
          <w:sz w:val="32"/>
          <w:szCs w:val="32"/>
        </w:rPr>
        <w:t>-</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中</w:t>
      </w:r>
      <w:r>
        <w:rPr>
          <w:rFonts w:ascii="仿宋" w:eastAsia="仿宋" w:hAnsi="仿宋"/>
          <w:sz w:val="32"/>
          <w:szCs w:val="32"/>
        </w:rPr>
        <w:t>规定</w:t>
      </w:r>
      <w:r>
        <w:rPr>
          <w:rFonts w:ascii="仿宋" w:eastAsia="仿宋" w:hAnsi="仿宋" w:hint="eastAsia"/>
          <w:sz w:val="32"/>
          <w:szCs w:val="32"/>
        </w:rPr>
        <w:t>，</w:t>
      </w:r>
      <w:r>
        <w:rPr>
          <w:rFonts w:ascii="仿宋" w:eastAsia="仿宋" w:hAnsi="仿宋"/>
          <w:sz w:val="32"/>
          <w:szCs w:val="32"/>
        </w:rPr>
        <w:t>水</w:t>
      </w:r>
      <w:r>
        <w:rPr>
          <w:rFonts w:ascii="仿宋" w:eastAsia="仿宋" w:hAnsi="仿宋" w:hint="eastAsia"/>
          <w:sz w:val="32"/>
          <w:szCs w:val="32"/>
        </w:rPr>
        <w:t>产</w:t>
      </w:r>
      <w:r>
        <w:rPr>
          <w:rFonts w:ascii="仿宋" w:eastAsia="仿宋" w:hAnsi="仿宋"/>
          <w:sz w:val="32"/>
          <w:szCs w:val="32"/>
        </w:rPr>
        <w:t>制品中铅的限量值不得超过</w:t>
      </w:r>
      <w:r>
        <w:rPr>
          <w:rFonts w:ascii="仿宋" w:eastAsia="仿宋" w:hAnsi="仿宋"/>
          <w:sz w:val="32"/>
          <w:szCs w:val="32"/>
        </w:rPr>
        <w:t>1.0</w:t>
      </w:r>
      <w:r>
        <w:rPr>
          <w:rFonts w:hint="eastAsia"/>
        </w:rPr>
        <w:t xml:space="preserve"> </w:t>
      </w:r>
      <w:r>
        <w:rPr>
          <w:rFonts w:ascii="仿宋" w:eastAsia="仿宋" w:hAnsi="仿宋" w:hint="eastAsia"/>
          <w:sz w:val="32"/>
          <w:szCs w:val="32"/>
        </w:rPr>
        <w:t>(</w:t>
      </w:r>
      <w:r>
        <w:rPr>
          <w:rFonts w:ascii="仿宋" w:eastAsia="仿宋" w:hAnsi="仿宋" w:hint="eastAsia"/>
          <w:sz w:val="32"/>
          <w:szCs w:val="32"/>
        </w:rPr>
        <w:t>干重计</w:t>
      </w:r>
      <w:r>
        <w:rPr>
          <w:rFonts w:ascii="仿宋" w:eastAsia="仿宋" w:hAnsi="仿宋" w:hint="eastAsia"/>
          <w:sz w:val="32"/>
          <w:szCs w:val="32"/>
        </w:rPr>
        <w:t>)</w:t>
      </w:r>
      <w:r>
        <w:rPr>
          <w:rFonts w:ascii="仿宋" w:eastAsia="仿宋" w:hAnsi="仿宋"/>
          <w:sz w:val="32"/>
          <w:szCs w:val="32"/>
        </w:rPr>
        <w:t>mg/kg</w:t>
      </w:r>
      <w:r>
        <w:rPr>
          <w:rFonts w:ascii="仿宋" w:eastAsia="仿宋" w:hAnsi="仿宋"/>
          <w:sz w:val="32"/>
          <w:szCs w:val="32"/>
        </w:rPr>
        <w:t>。铅是一种慢性和积累性毒物，进入人体后，少部分会随着身体代谢排出体外，大部分会在体内沉积，危害人体健康</w:t>
      </w:r>
      <w:r>
        <w:rPr>
          <w:rFonts w:ascii="仿宋" w:eastAsia="仿宋" w:hAnsi="仿宋" w:hint="eastAsia"/>
          <w:sz w:val="32"/>
          <w:szCs w:val="32"/>
        </w:rPr>
        <w:t>，可能影响神经系统、智力发育等</w:t>
      </w:r>
      <w:r>
        <w:rPr>
          <w:rFonts w:ascii="仿宋" w:eastAsia="仿宋" w:hAnsi="仿宋"/>
          <w:sz w:val="32"/>
          <w:szCs w:val="32"/>
        </w:rPr>
        <w:t>。</w:t>
      </w:r>
    </w:p>
    <w:p w:rsidR="007A1CD8" w:rsidRDefault="00A96F53">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7A1CD8" w:rsidRDefault="00A96F53">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1</w:t>
      </w:r>
      <w:r>
        <w:rPr>
          <w:rStyle w:val="a7"/>
          <w:rFonts w:ascii="楷体" w:eastAsia="楷体" w:hAnsi="楷体" w:hint="eastAsia"/>
          <w:color w:val="2B2B2B"/>
          <w:sz w:val="32"/>
          <w:szCs w:val="32"/>
        </w:rPr>
        <w:t>、严格把关食品原辅料</w:t>
      </w:r>
    </w:p>
    <w:p w:rsidR="007A1CD8" w:rsidRDefault="00A96F53">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Pr>
          <w:rFonts w:ascii="仿宋" w:eastAsia="仿宋" w:hAnsi="仿宋" w:hint="eastAsia"/>
          <w:color w:val="2B2B2B"/>
          <w:sz w:val="32"/>
          <w:szCs w:val="32"/>
        </w:rPr>
        <w:t>餐饮服务单位应制定并实施原辅料控制要求，并做好索票索证、采购验收等登记工作，</w:t>
      </w:r>
      <w:bookmarkStart w:id="0" w:name="OLE_LINK4"/>
      <w:r>
        <w:rPr>
          <w:rFonts w:ascii="仿宋" w:eastAsia="仿宋" w:hAnsi="仿宋" w:hint="eastAsia"/>
          <w:color w:val="2B2B2B"/>
          <w:sz w:val="32"/>
          <w:szCs w:val="32"/>
        </w:rPr>
        <w:t>确保各种原辅料的质量符合标准的有关规定和要求</w:t>
      </w:r>
      <w:bookmarkEnd w:id="0"/>
      <w:r>
        <w:rPr>
          <w:rFonts w:ascii="仿宋" w:eastAsia="仿宋" w:hAnsi="仿宋" w:hint="eastAsia"/>
          <w:color w:val="2B2B2B"/>
          <w:sz w:val="32"/>
          <w:szCs w:val="32"/>
        </w:rPr>
        <w:t>。</w:t>
      </w:r>
    </w:p>
    <w:p w:rsidR="007A1CD8" w:rsidRDefault="00A96F53">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2</w:t>
      </w:r>
      <w:r>
        <w:rPr>
          <w:rStyle w:val="a7"/>
          <w:rFonts w:ascii="楷体" w:eastAsia="楷体" w:hAnsi="楷体" w:hint="eastAsia"/>
          <w:color w:val="2B2B2B"/>
          <w:sz w:val="32"/>
          <w:szCs w:val="32"/>
        </w:rPr>
        <w:t>、保证餐厨加工环境</w:t>
      </w:r>
    </w:p>
    <w:p w:rsidR="007A1CD8" w:rsidRDefault="00A96F53">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Pr>
          <w:rFonts w:ascii="仿宋" w:eastAsia="仿宋" w:hAnsi="仿宋" w:hint="eastAsia"/>
          <w:color w:val="2B2B2B"/>
          <w:sz w:val="32"/>
          <w:szCs w:val="32"/>
          <w:shd w:val="clear" w:color="auto" w:fill="FFFFFF"/>
        </w:rPr>
        <w:t>食品处理区应按照原料进入、原料处理、半成品加工、成品供应的流程合理布局</w:t>
      </w:r>
      <w:r>
        <w:rPr>
          <w:rFonts w:ascii="仿宋" w:eastAsia="仿宋" w:hAnsi="仿宋" w:hint="eastAsia"/>
          <w:color w:val="2B2B2B"/>
          <w:sz w:val="32"/>
          <w:szCs w:val="32"/>
        </w:rPr>
        <w:t>；应完善通风排烟及防尘防鼠防虫害设施；餐厨环境应当保持清洁卫生，符合相关规范要求；餐厨用具应当彻底消毒，并保留消毒记录</w:t>
      </w:r>
      <w:r>
        <w:rPr>
          <w:rFonts w:ascii="仿宋" w:eastAsia="仿宋" w:hAnsi="仿宋" w:hint="eastAsia"/>
          <w:sz w:val="32"/>
          <w:szCs w:val="32"/>
        </w:rPr>
        <w:t>。</w:t>
      </w:r>
    </w:p>
    <w:p w:rsidR="007A1CD8" w:rsidRDefault="00A96F53">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3</w:t>
      </w:r>
      <w:r>
        <w:rPr>
          <w:rStyle w:val="a7"/>
          <w:rFonts w:ascii="楷体" w:eastAsia="楷体" w:hAnsi="楷体" w:hint="eastAsia"/>
          <w:color w:val="2B2B2B"/>
          <w:sz w:val="32"/>
          <w:szCs w:val="32"/>
        </w:rPr>
        <w:t>、遵守生熟食品分开的原则</w:t>
      </w:r>
    </w:p>
    <w:p w:rsidR="007A1CD8" w:rsidRDefault="00A96F53">
      <w:pPr>
        <w:pStyle w:val="a6"/>
        <w:shd w:val="clear" w:color="auto" w:fill="FFFFFF"/>
        <w:spacing w:before="0" w:beforeAutospacing="0" w:after="0" w:afterAutospacing="0" w:line="288" w:lineRule="atLeast"/>
        <w:ind w:firstLineChars="200" w:firstLine="640"/>
        <w:rPr>
          <w:rFonts w:ascii="仿宋" w:eastAsia="仿宋" w:hAnsi="仿宋"/>
          <w:color w:val="2B2B2B"/>
          <w:sz w:val="32"/>
          <w:szCs w:val="32"/>
        </w:rPr>
      </w:pPr>
      <w:r>
        <w:rPr>
          <w:rFonts w:ascii="仿宋" w:eastAsia="仿宋" w:hAnsi="仿宋" w:hint="eastAsia"/>
          <w:color w:val="2B2B2B"/>
          <w:sz w:val="32"/>
          <w:szCs w:val="32"/>
        </w:rPr>
        <w:t>餐饮服务单位必须严格遵守生熟食品分开的原则，除了盛放、清洗、加工生熟食品的用具要</w:t>
      </w:r>
      <w:proofErr w:type="gramStart"/>
      <w:r>
        <w:rPr>
          <w:rFonts w:ascii="仿宋" w:eastAsia="仿宋" w:hAnsi="仿宋" w:hint="eastAsia"/>
          <w:color w:val="2B2B2B"/>
          <w:sz w:val="32"/>
          <w:szCs w:val="32"/>
        </w:rPr>
        <w:t>严格分</w:t>
      </w:r>
      <w:proofErr w:type="gramEnd"/>
      <w:r>
        <w:rPr>
          <w:rFonts w:ascii="仿宋" w:eastAsia="仿宋" w:hAnsi="仿宋" w:hint="eastAsia"/>
          <w:color w:val="2B2B2B"/>
          <w:sz w:val="32"/>
          <w:szCs w:val="32"/>
        </w:rPr>
        <w:t>开外，餐厨人员在接触生肉、生菜等生鲜食品后，要及时洗手。</w:t>
      </w:r>
    </w:p>
    <w:p w:rsidR="007A1CD8" w:rsidRDefault="00A96F53">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lastRenderedPageBreak/>
        <w:t>4</w:t>
      </w:r>
      <w:r>
        <w:rPr>
          <w:rStyle w:val="a7"/>
          <w:rFonts w:ascii="楷体" w:eastAsia="楷体" w:hAnsi="楷体" w:hint="eastAsia"/>
          <w:color w:val="2B2B2B"/>
          <w:sz w:val="32"/>
          <w:szCs w:val="32"/>
        </w:rPr>
        <w:t>、</w:t>
      </w:r>
      <w:bookmarkStart w:id="1" w:name="OLE_LINK1"/>
      <w:r>
        <w:rPr>
          <w:rStyle w:val="a7"/>
          <w:rFonts w:ascii="楷体" w:eastAsia="楷体" w:hAnsi="楷体" w:hint="eastAsia"/>
          <w:color w:val="2B2B2B"/>
          <w:sz w:val="32"/>
          <w:szCs w:val="32"/>
        </w:rPr>
        <w:t>加强食品从业人员管理</w:t>
      </w:r>
    </w:p>
    <w:p w:rsidR="007A1CD8" w:rsidRDefault="00A96F53">
      <w:pPr>
        <w:pStyle w:val="a6"/>
        <w:shd w:val="clear" w:color="auto" w:fill="FFFFFF"/>
        <w:spacing w:before="0" w:beforeAutospacing="0" w:after="0" w:afterAutospacing="0" w:line="560" w:lineRule="exact"/>
        <w:ind w:firstLineChars="250" w:firstLine="800"/>
        <w:rPr>
          <w:rFonts w:ascii="仿宋" w:eastAsia="仿宋" w:hAnsi="仿宋"/>
          <w:sz w:val="32"/>
          <w:szCs w:val="32"/>
        </w:rPr>
      </w:pPr>
      <w:bookmarkStart w:id="2" w:name="OLE_LINK2"/>
      <w:bookmarkEnd w:id="1"/>
      <w:r>
        <w:rPr>
          <w:rFonts w:ascii="仿宋" w:eastAsia="仿宋" w:hAnsi="仿宋" w:hint="eastAsia"/>
          <w:color w:val="2B2B2B"/>
          <w:sz w:val="32"/>
          <w:szCs w:val="32"/>
        </w:rPr>
        <w:t>餐厨及服务人员</w:t>
      </w:r>
      <w:bookmarkEnd w:id="2"/>
      <w:r>
        <w:rPr>
          <w:rFonts w:ascii="仿宋" w:eastAsia="仿宋" w:hAnsi="仿宋" w:hint="eastAsia"/>
          <w:color w:val="2B2B2B"/>
          <w:sz w:val="32"/>
          <w:szCs w:val="32"/>
        </w:rPr>
        <w:t>应持有健康体检证明，需进行岗前培训和在岗培训，达到相应的岗位技术素质要求方可上岗。餐厨及服务人员应保持个人卫生，</w:t>
      </w:r>
      <w:r>
        <w:rPr>
          <w:rFonts w:ascii="仿宋" w:eastAsia="仿宋" w:hAnsi="仿宋" w:hint="eastAsia"/>
          <w:color w:val="2B2B2B"/>
          <w:sz w:val="32"/>
          <w:szCs w:val="32"/>
          <w:shd w:val="clear" w:color="auto" w:fill="FFFFFF"/>
        </w:rPr>
        <w:t>加工食品时应当将手洗净，穿戴清洁的工作衣帽。</w:t>
      </w:r>
      <w:bookmarkStart w:id="3" w:name="_GoBack"/>
      <w:bookmarkEnd w:id="3"/>
    </w:p>
    <w:sectPr w:rsidR="007A1CD8" w:rsidSect="007A1C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1248C"/>
    <w:rsid w:val="00023D16"/>
    <w:rsid w:val="00032538"/>
    <w:rsid w:val="000349E3"/>
    <w:rsid w:val="00035BF4"/>
    <w:rsid w:val="00040D71"/>
    <w:rsid w:val="00044B2D"/>
    <w:rsid w:val="0004778C"/>
    <w:rsid w:val="000518A7"/>
    <w:rsid w:val="00071380"/>
    <w:rsid w:val="00073BFA"/>
    <w:rsid w:val="00074B84"/>
    <w:rsid w:val="00074F6A"/>
    <w:rsid w:val="00075B8F"/>
    <w:rsid w:val="000A6CAB"/>
    <w:rsid w:val="000B6093"/>
    <w:rsid w:val="000C31AC"/>
    <w:rsid w:val="000C4E7D"/>
    <w:rsid w:val="000D0EA8"/>
    <w:rsid w:val="000D555F"/>
    <w:rsid w:val="000D6FFE"/>
    <w:rsid w:val="000F5F41"/>
    <w:rsid w:val="00102795"/>
    <w:rsid w:val="00102A23"/>
    <w:rsid w:val="00103CBA"/>
    <w:rsid w:val="00117748"/>
    <w:rsid w:val="00117D05"/>
    <w:rsid w:val="00122122"/>
    <w:rsid w:val="001345A3"/>
    <w:rsid w:val="00134691"/>
    <w:rsid w:val="00135803"/>
    <w:rsid w:val="001372D9"/>
    <w:rsid w:val="00154CAA"/>
    <w:rsid w:val="00160E55"/>
    <w:rsid w:val="001618B6"/>
    <w:rsid w:val="0017157D"/>
    <w:rsid w:val="0019148B"/>
    <w:rsid w:val="00191EB4"/>
    <w:rsid w:val="001A2AAA"/>
    <w:rsid w:val="001B4BBC"/>
    <w:rsid w:val="001F221F"/>
    <w:rsid w:val="001F4A92"/>
    <w:rsid w:val="002178AC"/>
    <w:rsid w:val="002200B2"/>
    <w:rsid w:val="002349E5"/>
    <w:rsid w:val="00242A69"/>
    <w:rsid w:val="0026230D"/>
    <w:rsid w:val="002671C8"/>
    <w:rsid w:val="00277FEA"/>
    <w:rsid w:val="00287612"/>
    <w:rsid w:val="002940D0"/>
    <w:rsid w:val="0029681F"/>
    <w:rsid w:val="002A4580"/>
    <w:rsid w:val="002A461E"/>
    <w:rsid w:val="002B5671"/>
    <w:rsid w:val="002B7016"/>
    <w:rsid w:val="002D2260"/>
    <w:rsid w:val="002D5CDC"/>
    <w:rsid w:val="002D7D42"/>
    <w:rsid w:val="002E1A9A"/>
    <w:rsid w:val="002E7121"/>
    <w:rsid w:val="002E7A60"/>
    <w:rsid w:val="002F661B"/>
    <w:rsid w:val="00302840"/>
    <w:rsid w:val="003145EC"/>
    <w:rsid w:val="00332A02"/>
    <w:rsid w:val="003331DD"/>
    <w:rsid w:val="0036094B"/>
    <w:rsid w:val="0036358C"/>
    <w:rsid w:val="00391690"/>
    <w:rsid w:val="003A105E"/>
    <w:rsid w:val="003A7456"/>
    <w:rsid w:val="003B285F"/>
    <w:rsid w:val="003E3863"/>
    <w:rsid w:val="003F2E05"/>
    <w:rsid w:val="00404951"/>
    <w:rsid w:val="00407D6D"/>
    <w:rsid w:val="00423F19"/>
    <w:rsid w:val="004361DC"/>
    <w:rsid w:val="004432E7"/>
    <w:rsid w:val="00445FF9"/>
    <w:rsid w:val="00453585"/>
    <w:rsid w:val="00474153"/>
    <w:rsid w:val="00485C2D"/>
    <w:rsid w:val="00495C32"/>
    <w:rsid w:val="004A0708"/>
    <w:rsid w:val="004A4837"/>
    <w:rsid w:val="004B4C82"/>
    <w:rsid w:val="004C426F"/>
    <w:rsid w:val="004C4885"/>
    <w:rsid w:val="004E2EC0"/>
    <w:rsid w:val="004E4404"/>
    <w:rsid w:val="004F6855"/>
    <w:rsid w:val="004F6ABF"/>
    <w:rsid w:val="005023CC"/>
    <w:rsid w:val="0050693A"/>
    <w:rsid w:val="0051164B"/>
    <w:rsid w:val="00512C0F"/>
    <w:rsid w:val="00514C4D"/>
    <w:rsid w:val="00524190"/>
    <w:rsid w:val="005263C4"/>
    <w:rsid w:val="00527A95"/>
    <w:rsid w:val="00544656"/>
    <w:rsid w:val="005713C7"/>
    <w:rsid w:val="0057278A"/>
    <w:rsid w:val="00573F2F"/>
    <w:rsid w:val="0058383A"/>
    <w:rsid w:val="00584DA5"/>
    <w:rsid w:val="00591E9F"/>
    <w:rsid w:val="00592261"/>
    <w:rsid w:val="005975B9"/>
    <w:rsid w:val="005B6012"/>
    <w:rsid w:val="005C0AD5"/>
    <w:rsid w:val="005C4414"/>
    <w:rsid w:val="005E2AE0"/>
    <w:rsid w:val="005E4AED"/>
    <w:rsid w:val="005E69BF"/>
    <w:rsid w:val="005F3690"/>
    <w:rsid w:val="006011C0"/>
    <w:rsid w:val="00601A31"/>
    <w:rsid w:val="00602933"/>
    <w:rsid w:val="00602B02"/>
    <w:rsid w:val="006122F4"/>
    <w:rsid w:val="00643766"/>
    <w:rsid w:val="0065490E"/>
    <w:rsid w:val="0066547F"/>
    <w:rsid w:val="00676A61"/>
    <w:rsid w:val="0068726E"/>
    <w:rsid w:val="00694B5D"/>
    <w:rsid w:val="006C0C46"/>
    <w:rsid w:val="006C33F5"/>
    <w:rsid w:val="006D5C00"/>
    <w:rsid w:val="006E4A25"/>
    <w:rsid w:val="006E5453"/>
    <w:rsid w:val="006E7155"/>
    <w:rsid w:val="006E7453"/>
    <w:rsid w:val="006F5456"/>
    <w:rsid w:val="00700D7B"/>
    <w:rsid w:val="00704ED0"/>
    <w:rsid w:val="00713D88"/>
    <w:rsid w:val="0071410F"/>
    <w:rsid w:val="007156DA"/>
    <w:rsid w:val="00726271"/>
    <w:rsid w:val="007354F0"/>
    <w:rsid w:val="007365B5"/>
    <w:rsid w:val="00737040"/>
    <w:rsid w:val="00741414"/>
    <w:rsid w:val="007524FB"/>
    <w:rsid w:val="00755610"/>
    <w:rsid w:val="00757F5B"/>
    <w:rsid w:val="00762B75"/>
    <w:rsid w:val="007657E7"/>
    <w:rsid w:val="00790B1D"/>
    <w:rsid w:val="00793F65"/>
    <w:rsid w:val="007A1CD8"/>
    <w:rsid w:val="007A4823"/>
    <w:rsid w:val="007A4C53"/>
    <w:rsid w:val="007B2714"/>
    <w:rsid w:val="007B4E41"/>
    <w:rsid w:val="007C05E7"/>
    <w:rsid w:val="007C6B7A"/>
    <w:rsid w:val="007D07B1"/>
    <w:rsid w:val="007E7EDB"/>
    <w:rsid w:val="007F407E"/>
    <w:rsid w:val="007F56B0"/>
    <w:rsid w:val="007F5CB0"/>
    <w:rsid w:val="00803608"/>
    <w:rsid w:val="00810A1F"/>
    <w:rsid w:val="008156E7"/>
    <w:rsid w:val="008179CB"/>
    <w:rsid w:val="00821662"/>
    <w:rsid w:val="0082412C"/>
    <w:rsid w:val="0083040C"/>
    <w:rsid w:val="008319CA"/>
    <w:rsid w:val="0085551D"/>
    <w:rsid w:val="00864DAC"/>
    <w:rsid w:val="00867C6A"/>
    <w:rsid w:val="00871259"/>
    <w:rsid w:val="00872500"/>
    <w:rsid w:val="00872720"/>
    <w:rsid w:val="00873E30"/>
    <w:rsid w:val="0087447C"/>
    <w:rsid w:val="00874A9A"/>
    <w:rsid w:val="00877F38"/>
    <w:rsid w:val="008919B2"/>
    <w:rsid w:val="00891FF1"/>
    <w:rsid w:val="00895285"/>
    <w:rsid w:val="0089786F"/>
    <w:rsid w:val="008A6741"/>
    <w:rsid w:val="008B017B"/>
    <w:rsid w:val="008B13F5"/>
    <w:rsid w:val="008B5A0B"/>
    <w:rsid w:val="008D07CB"/>
    <w:rsid w:val="008D36DF"/>
    <w:rsid w:val="008D4BC1"/>
    <w:rsid w:val="008D5C01"/>
    <w:rsid w:val="00901BA9"/>
    <w:rsid w:val="00905A3D"/>
    <w:rsid w:val="00932E9F"/>
    <w:rsid w:val="00943F89"/>
    <w:rsid w:val="00970211"/>
    <w:rsid w:val="00970598"/>
    <w:rsid w:val="00976894"/>
    <w:rsid w:val="00980983"/>
    <w:rsid w:val="00993E1B"/>
    <w:rsid w:val="009A140A"/>
    <w:rsid w:val="009C1EF6"/>
    <w:rsid w:val="009C47C2"/>
    <w:rsid w:val="009E04DF"/>
    <w:rsid w:val="009E360E"/>
    <w:rsid w:val="009F042A"/>
    <w:rsid w:val="009F221F"/>
    <w:rsid w:val="00A12E98"/>
    <w:rsid w:val="00A27910"/>
    <w:rsid w:val="00A40BBD"/>
    <w:rsid w:val="00A44DDA"/>
    <w:rsid w:val="00A50CDD"/>
    <w:rsid w:val="00A549A8"/>
    <w:rsid w:val="00A66D3F"/>
    <w:rsid w:val="00A671ED"/>
    <w:rsid w:val="00A83EDB"/>
    <w:rsid w:val="00A85E52"/>
    <w:rsid w:val="00A96F53"/>
    <w:rsid w:val="00AA27AC"/>
    <w:rsid w:val="00AA5565"/>
    <w:rsid w:val="00AA7D57"/>
    <w:rsid w:val="00AD22BB"/>
    <w:rsid w:val="00AD5182"/>
    <w:rsid w:val="00AD76C7"/>
    <w:rsid w:val="00AD7AE1"/>
    <w:rsid w:val="00AE06A9"/>
    <w:rsid w:val="00AE13F1"/>
    <w:rsid w:val="00AE1401"/>
    <w:rsid w:val="00AE189D"/>
    <w:rsid w:val="00AE6354"/>
    <w:rsid w:val="00AE756C"/>
    <w:rsid w:val="00B0198F"/>
    <w:rsid w:val="00B144E5"/>
    <w:rsid w:val="00B2515B"/>
    <w:rsid w:val="00B3155E"/>
    <w:rsid w:val="00B33DA9"/>
    <w:rsid w:val="00B3617A"/>
    <w:rsid w:val="00B638E5"/>
    <w:rsid w:val="00B64ACD"/>
    <w:rsid w:val="00B761AF"/>
    <w:rsid w:val="00B85427"/>
    <w:rsid w:val="00B91F5D"/>
    <w:rsid w:val="00B979A2"/>
    <w:rsid w:val="00BA32AF"/>
    <w:rsid w:val="00BC393B"/>
    <w:rsid w:val="00BC64FD"/>
    <w:rsid w:val="00BC662E"/>
    <w:rsid w:val="00BD357B"/>
    <w:rsid w:val="00BE3CC0"/>
    <w:rsid w:val="00C06CA6"/>
    <w:rsid w:val="00C12DF9"/>
    <w:rsid w:val="00C14111"/>
    <w:rsid w:val="00C304EA"/>
    <w:rsid w:val="00C47819"/>
    <w:rsid w:val="00C501CC"/>
    <w:rsid w:val="00C56590"/>
    <w:rsid w:val="00C6247E"/>
    <w:rsid w:val="00C853BB"/>
    <w:rsid w:val="00C86042"/>
    <w:rsid w:val="00C86FAC"/>
    <w:rsid w:val="00C87027"/>
    <w:rsid w:val="00C87E60"/>
    <w:rsid w:val="00C92CD1"/>
    <w:rsid w:val="00CA3E1D"/>
    <w:rsid w:val="00CA4CD6"/>
    <w:rsid w:val="00CA7023"/>
    <w:rsid w:val="00CB1E1A"/>
    <w:rsid w:val="00CB4C48"/>
    <w:rsid w:val="00CC7CDD"/>
    <w:rsid w:val="00CD7853"/>
    <w:rsid w:val="00CE0E6E"/>
    <w:rsid w:val="00CF1B62"/>
    <w:rsid w:val="00CF1C6C"/>
    <w:rsid w:val="00CF543D"/>
    <w:rsid w:val="00D0387C"/>
    <w:rsid w:val="00D16F6F"/>
    <w:rsid w:val="00D1798E"/>
    <w:rsid w:val="00D26DFF"/>
    <w:rsid w:val="00D33EE3"/>
    <w:rsid w:val="00D3787D"/>
    <w:rsid w:val="00D378F0"/>
    <w:rsid w:val="00D473CF"/>
    <w:rsid w:val="00D522FB"/>
    <w:rsid w:val="00D549B2"/>
    <w:rsid w:val="00D55631"/>
    <w:rsid w:val="00D60281"/>
    <w:rsid w:val="00D646C5"/>
    <w:rsid w:val="00D64868"/>
    <w:rsid w:val="00D71FA2"/>
    <w:rsid w:val="00D76C1C"/>
    <w:rsid w:val="00D815CA"/>
    <w:rsid w:val="00D8340D"/>
    <w:rsid w:val="00D85541"/>
    <w:rsid w:val="00D86350"/>
    <w:rsid w:val="00D960D9"/>
    <w:rsid w:val="00DC13BB"/>
    <w:rsid w:val="00DC62EC"/>
    <w:rsid w:val="00DC6BDE"/>
    <w:rsid w:val="00DC7BB8"/>
    <w:rsid w:val="00DD32AC"/>
    <w:rsid w:val="00DD5A81"/>
    <w:rsid w:val="00DE2E9C"/>
    <w:rsid w:val="00E07CFF"/>
    <w:rsid w:val="00E16D3B"/>
    <w:rsid w:val="00E20FBC"/>
    <w:rsid w:val="00E305C3"/>
    <w:rsid w:val="00E352D8"/>
    <w:rsid w:val="00E44B2E"/>
    <w:rsid w:val="00E5108A"/>
    <w:rsid w:val="00E651D0"/>
    <w:rsid w:val="00E66FE2"/>
    <w:rsid w:val="00E71733"/>
    <w:rsid w:val="00E740DC"/>
    <w:rsid w:val="00E86C9F"/>
    <w:rsid w:val="00E90578"/>
    <w:rsid w:val="00E909C2"/>
    <w:rsid w:val="00E95597"/>
    <w:rsid w:val="00EA019F"/>
    <w:rsid w:val="00EB4E58"/>
    <w:rsid w:val="00EB79C5"/>
    <w:rsid w:val="00EC0ECC"/>
    <w:rsid w:val="00EC277A"/>
    <w:rsid w:val="00ED1A68"/>
    <w:rsid w:val="00ED515D"/>
    <w:rsid w:val="00EF4553"/>
    <w:rsid w:val="00F022B5"/>
    <w:rsid w:val="00F04BD8"/>
    <w:rsid w:val="00F158F6"/>
    <w:rsid w:val="00F20BB3"/>
    <w:rsid w:val="00F21760"/>
    <w:rsid w:val="00F21D54"/>
    <w:rsid w:val="00F22854"/>
    <w:rsid w:val="00F24F07"/>
    <w:rsid w:val="00F46A60"/>
    <w:rsid w:val="00F55591"/>
    <w:rsid w:val="00F7406E"/>
    <w:rsid w:val="00F741FF"/>
    <w:rsid w:val="00F841CE"/>
    <w:rsid w:val="00F84553"/>
    <w:rsid w:val="00F936C3"/>
    <w:rsid w:val="00F9417C"/>
    <w:rsid w:val="00FA60DD"/>
    <w:rsid w:val="00FA7CDA"/>
    <w:rsid w:val="00FB1115"/>
    <w:rsid w:val="00FB517D"/>
    <w:rsid w:val="00FB5F82"/>
    <w:rsid w:val="00FB5FB5"/>
    <w:rsid w:val="00FB7D5F"/>
    <w:rsid w:val="00FC474D"/>
    <w:rsid w:val="00FC61C6"/>
    <w:rsid w:val="07D80F98"/>
    <w:rsid w:val="17A31B54"/>
    <w:rsid w:val="1EB22B9E"/>
    <w:rsid w:val="208B6E9A"/>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D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A1CD8"/>
    <w:rPr>
      <w:sz w:val="18"/>
      <w:szCs w:val="18"/>
    </w:rPr>
  </w:style>
  <w:style w:type="paragraph" w:styleId="a4">
    <w:name w:val="footer"/>
    <w:basedOn w:val="a"/>
    <w:link w:val="Char0"/>
    <w:uiPriority w:val="99"/>
    <w:unhideWhenUsed/>
    <w:qFormat/>
    <w:rsid w:val="007A1CD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1CD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A1C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A1CD8"/>
    <w:rPr>
      <w:b/>
      <w:bCs/>
    </w:rPr>
  </w:style>
  <w:style w:type="character" w:styleId="a8">
    <w:name w:val="Emphasis"/>
    <w:basedOn w:val="a0"/>
    <w:uiPriority w:val="20"/>
    <w:qFormat/>
    <w:rsid w:val="007A1CD8"/>
    <w:rPr>
      <w:i/>
      <w:iCs/>
    </w:rPr>
  </w:style>
  <w:style w:type="character" w:customStyle="1" w:styleId="Char1">
    <w:name w:val="页眉 Char"/>
    <w:basedOn w:val="a0"/>
    <w:link w:val="a5"/>
    <w:uiPriority w:val="99"/>
    <w:qFormat/>
    <w:rsid w:val="007A1CD8"/>
    <w:rPr>
      <w:sz w:val="18"/>
      <w:szCs w:val="18"/>
    </w:rPr>
  </w:style>
  <w:style w:type="character" w:customStyle="1" w:styleId="Char0">
    <w:name w:val="页脚 Char"/>
    <w:basedOn w:val="a0"/>
    <w:link w:val="a4"/>
    <w:uiPriority w:val="99"/>
    <w:qFormat/>
    <w:rsid w:val="007A1CD8"/>
    <w:rPr>
      <w:sz w:val="18"/>
      <w:szCs w:val="18"/>
    </w:rPr>
  </w:style>
  <w:style w:type="paragraph" w:styleId="a9">
    <w:name w:val="List Paragraph"/>
    <w:basedOn w:val="a"/>
    <w:uiPriority w:val="34"/>
    <w:qFormat/>
    <w:rsid w:val="007A1CD8"/>
    <w:pPr>
      <w:ind w:firstLineChars="200" w:firstLine="420"/>
    </w:pPr>
  </w:style>
  <w:style w:type="character" w:customStyle="1" w:styleId="Char">
    <w:name w:val="批注框文本 Char"/>
    <w:basedOn w:val="a0"/>
    <w:link w:val="a3"/>
    <w:uiPriority w:val="99"/>
    <w:semiHidden/>
    <w:qFormat/>
    <w:rsid w:val="007A1CD8"/>
    <w:rPr>
      <w:sz w:val="18"/>
      <w:szCs w:val="18"/>
    </w:rPr>
  </w:style>
  <w:style w:type="paragraph" w:customStyle="1" w:styleId="Default">
    <w:name w:val="Default"/>
    <w:uiPriority w:val="99"/>
    <w:qFormat/>
    <w:rsid w:val="007A1CD8"/>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7A1CD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5ACD3-3382-47CE-A0DB-B6ED9E00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6</Pages>
  <Words>405</Words>
  <Characters>2309</Characters>
  <Application>Microsoft Office Word</Application>
  <DocSecurity>0</DocSecurity>
  <Lines>19</Lines>
  <Paragraphs>5</Paragraphs>
  <ScaleCrop>false</ScaleCrop>
  <Company>Microsoft</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171</cp:revision>
  <dcterms:created xsi:type="dcterms:W3CDTF">2018-04-04T05:56:00Z</dcterms:created>
  <dcterms:modified xsi:type="dcterms:W3CDTF">2019-07-30T02:42:00Z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