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附件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科创板IPO知识产权风险排查与预警培训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会议</w:t>
      </w:r>
      <w:r>
        <w:rPr>
          <w:rFonts w:hint="eastAsia" w:ascii="华文中宋" w:hAnsi="华文中宋" w:eastAsia="华文中宋"/>
          <w:b/>
          <w:sz w:val="44"/>
          <w:szCs w:val="44"/>
        </w:rPr>
        <w:t>议程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一、时间地点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14:0</w:t>
      </w:r>
      <w:r>
        <w:rPr>
          <w:rFonts w:hint="eastAsia" w:ascii="仿宋_GB2312" w:eastAsia="仿宋_GB2312"/>
          <w:sz w:val="32"/>
          <w:szCs w:val="32"/>
        </w:rPr>
        <w:t>0-1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7:0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49484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：深圳市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南山区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软件产业基地5B栋4楼深圳湾ECO国际会议中心-启贤厅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二、议程</w:t>
      </w:r>
    </w:p>
    <w:tbl>
      <w:tblPr>
        <w:tblStyle w:val="4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90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23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时间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主题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4"/>
                <w:highlight w:val="none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:00–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643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签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643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15:35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科创板IPO案例分析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深圳市威世博知识产权代理事务所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–1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40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科创板IPO知识产权风险排查与预警分析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深圳市威世博知识产权代理事务所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6:40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17:00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  <w:t>现场答疑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深圳市威世博知识产权代理事务所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25FC4"/>
    <w:rsid w:val="43966670"/>
    <w:rsid w:val="46C25FC4"/>
    <w:rsid w:val="577C2DDA"/>
    <w:rsid w:val="63BA68BC"/>
    <w:rsid w:val="6BE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2021-10-18T11:48:00Z</dcterms:created>
  <dc:creator>王秋雯</dc:creator>
  <cp:lastModifiedBy>刘妍彤</cp:lastModifiedBy>
  <dcterms:modified xsi:type="dcterms:W3CDTF">2021-10-22T01:05:26Z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D6BF3EEBC15D44D38C830C04C3AD2B7F</vt:lpwstr>
  </property>
</Properties>
</file>