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  <w:lang w:val="en-US" w:eastAsia="zh-CN" w:bidi="ar-SA"/>
        </w:rPr>
        <w:t>附件2</w:t>
      </w:r>
    </w:p>
    <w:p>
      <w:pPr>
        <w:pStyle w:val="2"/>
        <w:keepNext/>
        <w:spacing w:line="600" w:lineRule="exact"/>
        <w:jc w:val="center"/>
        <w:rPr>
          <w:rFonts w:hint="eastAsia" w:ascii="黑体" w:hAnsi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cs="黑体"/>
          <w:snapToGrid w:val="0"/>
          <w:kern w:val="0"/>
          <w:sz w:val="32"/>
          <w:szCs w:val="32"/>
        </w:rPr>
        <w:t>深圳市重大活动供餐单位食品安全</w:t>
      </w:r>
      <w:r>
        <w:rPr>
          <w:rFonts w:hint="eastAsia" w:ascii="黑体" w:hAnsi="黑体" w:cs="黑体"/>
          <w:snapToGrid w:val="0"/>
          <w:kern w:val="0"/>
          <w:sz w:val="32"/>
          <w:szCs w:val="32"/>
          <w:lang w:eastAsia="zh-CN"/>
        </w:rPr>
        <w:t>复评未通过名单</w:t>
      </w:r>
    </w:p>
    <w:p>
      <w:pPr>
        <w:pStyle w:val="2"/>
        <w:keepNext/>
        <w:spacing w:line="600" w:lineRule="exact"/>
        <w:jc w:val="center"/>
        <w:rPr>
          <w:rFonts w:hint="eastAsia" w:ascii="黑体" w:hAnsi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cs="黑体"/>
          <w:snapToGrid w:val="0"/>
          <w:kern w:val="0"/>
          <w:sz w:val="32"/>
          <w:szCs w:val="32"/>
        </w:rPr>
        <w:t>（20</w:t>
      </w:r>
      <w:r>
        <w:rPr>
          <w:rFonts w:hint="eastAsia" w:ascii="黑体" w:hAnsi="黑体" w:cs="黑体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cs="黑体"/>
          <w:snapToGrid w:val="0"/>
          <w:kern w:val="0"/>
          <w:sz w:val="32"/>
          <w:szCs w:val="32"/>
        </w:rPr>
        <w:t>年度）</w:t>
      </w:r>
    </w:p>
    <w:p>
      <w:pPr>
        <w:rPr>
          <w:rFonts w:hint="eastAsia"/>
        </w:rPr>
      </w:pPr>
    </w:p>
    <w:tbl>
      <w:tblPr>
        <w:tblStyle w:val="3"/>
        <w:tblW w:w="13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565"/>
        <w:gridCol w:w="667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复评结果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深圳市大和丰餐饮管理有限公司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深圳市龙岗区南湾街道盛宝路12号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未通过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616" w:right="1440" w:bottom="159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2021-12-08T06:37:52Z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