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eastAsia="仿宋_GB2312"/>
          <w:sz w:val="32"/>
          <w:szCs w:val="32"/>
        </w:rPr>
      </w:pPr>
      <w:r>
        <w:rPr>
          <w:rFonts w:hint="eastAsia" w:ascii="仿宋_GB2312" w:hAnsi="华文中宋" w:eastAsia="仿宋_GB2312"/>
          <w:sz w:val="32"/>
          <w:szCs w:val="32"/>
        </w:rPr>
        <w:t>附件</w:t>
      </w:r>
    </w:p>
    <w:p>
      <w:pPr>
        <w:jc w:val="center"/>
        <w:rPr>
          <w:rFonts w:hint="eastAsia" w:ascii="华文中宋" w:hAnsi="华文中宋" w:eastAsia="华文中宋"/>
          <w:b/>
          <w:sz w:val="44"/>
          <w:szCs w:val="44"/>
        </w:rPr>
      </w:pPr>
      <w:r>
        <w:rPr>
          <w:rFonts w:hint="eastAsia" w:ascii="华文中宋" w:hAnsi="华文中宋" w:eastAsia="华文中宋"/>
          <w:b/>
          <w:sz w:val="44"/>
          <w:szCs w:val="44"/>
        </w:rPr>
        <w:t>主讲嘉宾简介</w:t>
      </w:r>
    </w:p>
    <w:p>
      <w:pPr>
        <w:ind w:firstLine="642" w:firstLineChars="200"/>
        <w:rPr>
          <w:rFonts w:hint="eastAsia" w:ascii="仿宋_GB2312" w:hAnsi="华文中宋" w:eastAsia="仿宋_GB2312"/>
          <w:b/>
          <w:sz w:val="32"/>
          <w:szCs w:val="32"/>
        </w:rPr>
      </w:pPr>
      <w:r>
        <w:rPr>
          <w:rFonts w:hint="eastAsia" w:ascii="仿宋_GB2312" w:eastAsia="仿宋_GB2312"/>
          <w:b/>
          <w:sz w:val="32"/>
          <w:szCs w:val="32"/>
        </w:rPr>
        <w:t>夏廷康</w:t>
      </w:r>
      <w:r>
        <w:rPr>
          <w:rFonts w:hint="eastAsia" w:ascii="仿宋_GB2312" w:hAnsi="华文中宋" w:eastAsia="仿宋_GB2312"/>
          <w:b/>
          <w:sz w:val="32"/>
          <w:szCs w:val="32"/>
        </w:rPr>
        <w:t>简介：LOCKE LORD LLP 国际事务联席主席、资深合伙人。</w:t>
      </w:r>
    </w:p>
    <w:p>
      <w:pPr>
        <w:ind w:firstLine="640" w:firstLineChars="200"/>
        <w:rPr>
          <w:rFonts w:hint="eastAsia" w:ascii="仿宋_GB2312" w:eastAsia="仿宋_GB2312"/>
          <w:sz w:val="32"/>
          <w:szCs w:val="32"/>
        </w:rPr>
      </w:pPr>
      <w:r>
        <w:rPr>
          <w:rFonts w:hint="eastAsia" w:ascii="仿宋_GB2312" w:eastAsia="仿宋_GB2312"/>
          <w:sz w:val="32"/>
          <w:szCs w:val="32"/>
        </w:rPr>
        <w:t>夏廷康博士持有美国物理，法律双博士学位，是洛克律师事务所亚特兰大办事处的资深合伙人，国际知名的法律战略策划专家。</w:t>
      </w:r>
    </w:p>
    <w:p>
      <w:pPr>
        <w:ind w:firstLine="640" w:firstLineChars="200"/>
        <w:rPr>
          <w:rFonts w:hint="eastAsia" w:ascii="仿宋_GB2312" w:eastAsia="仿宋_GB2312"/>
          <w:sz w:val="32"/>
          <w:szCs w:val="32"/>
        </w:rPr>
      </w:pPr>
      <w:r>
        <w:rPr>
          <w:rFonts w:hint="eastAsia" w:ascii="仿宋_GB2312" w:eastAsia="仿宋_GB2312"/>
          <w:sz w:val="32"/>
          <w:szCs w:val="32"/>
        </w:rPr>
        <w:t>夏廷康博士被评为佐治亚州首位美籍华人“超级大律师”（Georgia Super Lawyer ）、全美最佳知识产权律师、佐治亚州律师精英、钱伯斯(Chambers) 最佳知识产权律师、全球最佳千人专利律师(IAM 1000) 以及全球专利法律事务客户最佳选择奖（佐治亚州的唯一获奖人）。</w:t>
      </w:r>
    </w:p>
    <w:p>
      <w:pPr>
        <w:ind w:firstLine="640" w:firstLineChars="200"/>
        <w:rPr>
          <w:rFonts w:hint="eastAsia" w:ascii="仿宋_GB2312" w:eastAsia="仿宋_GB2312"/>
          <w:sz w:val="32"/>
          <w:szCs w:val="32"/>
        </w:rPr>
      </w:pPr>
      <w:r>
        <w:rPr>
          <w:rFonts w:hint="eastAsia" w:ascii="仿宋_GB2312" w:eastAsia="仿宋_GB2312"/>
          <w:sz w:val="32"/>
          <w:szCs w:val="32"/>
        </w:rPr>
        <w:t>夏廷康博士专精于和知识产权相关的各种法律业务，包括美国和外国专利、商标和版权申请、专利性评估、侵权冲突排查、侵权诉讼、合法性评估、使用许可、专利组合发展和管理以及在美国及国际知识产权诉讼方面拥有丰富经验，涉及专利、商标、商业外观、版权及商业秘密事务。作为主导律师，夏博士在全美的联邦法院、州法院和行政法庭代理了超过四十桩案件，包括美国国际贸易委员会 (ITC) 337调查案。</w:t>
      </w:r>
    </w:p>
    <w:p>
      <w:pPr>
        <w:ind w:firstLine="640" w:firstLineChars="200"/>
        <w:rPr>
          <w:rFonts w:hint="eastAsia" w:ascii="仿宋_GB2312" w:eastAsia="仿宋_GB2312"/>
          <w:sz w:val="32"/>
          <w:szCs w:val="32"/>
        </w:rPr>
      </w:pPr>
      <w:r>
        <w:rPr>
          <w:rFonts w:hint="eastAsia" w:ascii="仿宋_GB2312" w:eastAsia="仿宋_GB2312"/>
          <w:sz w:val="32"/>
          <w:szCs w:val="32"/>
        </w:rPr>
        <w:t>夏廷康博士在律师职业生涯之前，还是一位物理学家，在超级计算、复杂流体的大型计算机模拟、超薄膜聚合物、超导约索夫森结阵列、高温超导体的电磁性质、颗粒金属物理学等领域都有重要建树。夏博士的科研成果发表在世界权威的《科学》、《物理评论快报》、《物理评论B辑》及其它国际顶尖学术研究期刊上。</w:t>
      </w:r>
    </w:p>
    <w:p>
      <w:pPr>
        <w:ind w:firstLine="642" w:firstLineChars="200"/>
        <w:rPr>
          <w:rFonts w:ascii="仿宋_GB2312" w:eastAsia="仿宋_GB2312"/>
          <w:b/>
          <w:sz w:val="32"/>
          <w:szCs w:val="32"/>
        </w:rPr>
      </w:pPr>
      <w:r>
        <w:rPr>
          <w:rFonts w:ascii="仿宋_GB2312" w:eastAsia="仿宋_GB2312"/>
          <w:b/>
          <w:sz w:val="32"/>
          <w:szCs w:val="32"/>
        </w:rPr>
        <w:t>Alan B. Clement</w:t>
      </w:r>
      <w:r>
        <w:rPr>
          <w:rFonts w:hint="eastAsia" w:ascii="仿宋_GB2312" w:eastAsia="仿宋_GB2312"/>
          <w:b/>
          <w:sz w:val="32"/>
          <w:szCs w:val="32"/>
        </w:rPr>
        <w:t>简介</w:t>
      </w:r>
      <w:r>
        <w:rPr>
          <w:rFonts w:ascii="仿宋_GB2312" w:eastAsia="仿宋_GB2312"/>
          <w:b/>
          <w:sz w:val="32"/>
          <w:szCs w:val="32"/>
        </w:rPr>
        <w:t> </w:t>
      </w:r>
      <w:r>
        <w:rPr>
          <w:rFonts w:hint="eastAsia" w:ascii="仿宋_GB2312" w:eastAsia="仿宋_GB2312"/>
          <w:b/>
          <w:sz w:val="32"/>
          <w:szCs w:val="32"/>
        </w:rPr>
        <w:t>：</w:t>
      </w:r>
      <w:r>
        <w:rPr>
          <w:rFonts w:hint="eastAsia" w:ascii="仿宋_GB2312" w:hAnsi="华文中宋" w:eastAsia="仿宋_GB2312"/>
          <w:b/>
          <w:sz w:val="32"/>
          <w:szCs w:val="32"/>
        </w:rPr>
        <w:t>LOCKE LORD LLP 知识产权部主任、资深合伙人</w:t>
      </w:r>
      <w:r>
        <w:rPr>
          <w:rFonts w:hint="eastAsia" w:ascii="仿宋_GB2312" w:eastAsia="仿宋_GB2312"/>
          <w:b/>
          <w:sz w:val="32"/>
          <w:szCs w:val="32"/>
        </w:rPr>
        <w:t>。</w:t>
      </w:r>
    </w:p>
    <w:p>
      <w:pPr>
        <w:ind w:firstLine="640" w:firstLineChars="200"/>
        <w:rPr>
          <w:rFonts w:hint="eastAsia" w:ascii="仿宋_GB2312" w:eastAsia="仿宋_GB2312"/>
          <w:sz w:val="32"/>
          <w:szCs w:val="32"/>
        </w:rPr>
      </w:pPr>
      <w:r>
        <w:rPr>
          <w:rFonts w:ascii="仿宋_GB2312" w:eastAsia="仿宋_GB2312"/>
          <w:sz w:val="32"/>
          <w:szCs w:val="32"/>
        </w:rPr>
        <w:t>Alan B. Clement</w:t>
      </w:r>
      <w:r>
        <w:rPr>
          <w:rFonts w:hint="eastAsia" w:ascii="仿宋_GB2312" w:eastAsia="仿宋_GB2312"/>
          <w:sz w:val="32"/>
          <w:szCs w:val="32"/>
        </w:rPr>
        <w:t>（克莱门特）律师系律师事务所知识产权业务组主席和纽约办公室合伙人之一。他在知识产权各个领域上均积累了丰富经验，包括诉讼、专利和商标的申请、许可以及法律咨询业务。15年来，克莱门特律师深度参与了众多《哈奇-伟克斯曼法案》相关的涉及多专利的复杂药品专利侵权诉讼，包括在众多案件中担任首席出庭律师。</w:t>
      </w:r>
    </w:p>
    <w:p>
      <w:pPr>
        <w:ind w:firstLine="642" w:firstLineChars="200"/>
        <w:rPr>
          <w:rFonts w:hint="eastAsia" w:ascii="仿宋_GB2312" w:hAnsi="华文中宋" w:eastAsia="仿宋_GB2312"/>
          <w:b/>
          <w:sz w:val="32"/>
          <w:szCs w:val="32"/>
        </w:rPr>
      </w:pPr>
      <w:r>
        <w:rPr>
          <w:rFonts w:hint="eastAsia" w:ascii="仿宋_GB2312" w:hAnsi="宋体" w:eastAsia="仿宋_GB2312" w:cs="宋体"/>
          <w:b/>
          <w:color w:val="000000"/>
          <w:kern w:val="0"/>
          <w:sz w:val="32"/>
          <w:szCs w:val="32"/>
        </w:rPr>
        <w:t>蔡晓红简介：深圳市顺天达专利商标代理有限公司首席合伙人、现兼任华中科技大学副教授、</w:t>
      </w:r>
      <w:r>
        <w:rPr>
          <w:rFonts w:hint="eastAsia" w:ascii="仿宋_GB2312" w:hAnsi="华文中宋" w:eastAsia="仿宋_GB2312"/>
          <w:b/>
          <w:sz w:val="32"/>
          <w:szCs w:val="32"/>
        </w:rPr>
        <w:t>深圳市知识产权联合会理事、四星专利代理人。</w:t>
      </w:r>
    </w:p>
    <w:p>
      <w:pPr>
        <w:ind w:firstLine="640" w:firstLineChars="200"/>
        <w:rPr>
          <w:rFonts w:hint="eastAsia" w:ascii="仿宋_GB2312" w:eastAsia="仿宋_GB2312"/>
          <w:sz w:val="32"/>
          <w:szCs w:val="32"/>
        </w:rPr>
      </w:pPr>
      <w:r>
        <w:rPr>
          <w:rFonts w:hint="eastAsia" w:ascii="仿宋_GB2312" w:hAnsi="宋体" w:eastAsia="仿宋_GB2312" w:cs="Arial"/>
          <w:color w:val="000000"/>
          <w:kern w:val="0"/>
          <w:sz w:val="32"/>
          <w:szCs w:val="32"/>
        </w:rPr>
        <w:t>美国加州大学法律硕士、华中科技大学工商管理硕士。</w:t>
      </w:r>
      <w:r>
        <w:rPr>
          <w:rFonts w:hint="eastAsia" w:ascii="仿宋_GB2312" w:hAnsi="宋体" w:eastAsia="仿宋_GB2312" w:cs="宋体"/>
          <w:color w:val="000000"/>
          <w:kern w:val="0"/>
          <w:sz w:val="32"/>
          <w:szCs w:val="32"/>
        </w:rPr>
        <w:t>是</w:t>
      </w:r>
      <w:r>
        <w:rPr>
          <w:rFonts w:hint="eastAsia" w:ascii="仿宋_GB2312" w:hAnsi="宋体" w:eastAsia="仿宋_GB2312" w:cs="宋体"/>
          <w:bCs/>
          <w:color w:val="000000"/>
          <w:kern w:val="0"/>
          <w:sz w:val="32"/>
          <w:szCs w:val="32"/>
        </w:rPr>
        <w:t>国家“百千万知识产权人才工程”百名高层次人才之一，</w:t>
      </w:r>
      <w:r>
        <w:rPr>
          <w:rFonts w:hint="eastAsia" w:ascii="仿宋_GB2312" w:hAnsi="宋体" w:eastAsia="仿宋_GB2312" w:cs="宋体"/>
          <w:color w:val="000000"/>
          <w:kern w:val="0"/>
          <w:sz w:val="32"/>
          <w:szCs w:val="32"/>
        </w:rPr>
        <w:t>同时受聘于深圳大学知识产权研究所的特约研究员。蔡女士从事知识产权工作</w:t>
      </w:r>
      <w:bookmarkStart w:id="0" w:name="_GoBack"/>
      <w:bookmarkEnd w:id="0"/>
      <w:r>
        <w:rPr>
          <w:rFonts w:hint="eastAsia" w:ascii="仿宋_GB2312" w:hAnsi="宋体" w:eastAsia="仿宋_GB2312" w:cs="宋体"/>
          <w:color w:val="000000"/>
          <w:kern w:val="0"/>
          <w:sz w:val="32"/>
          <w:szCs w:val="32"/>
        </w:rPr>
        <w:t>20多年来，积累了非常丰富的经验。她曾担任广东科龙电器股份公司、深圳三九医药股份公司、深圳日海通讯设备有限公司等企业的常年知识产权法律顾问。受国外知名品牌，如路易.威登（LV），NEW BALANCE、THE NORTH FACE、JANSPORT、H.D.LEE等的委托在中国进行知识产权保护工作，是上述品牌在中国聘请的首任知识产权律师。</w:t>
      </w:r>
    </w:p>
    <w:p/>
    <w:sectPr>
      <w:pgSz w:w="11906" w:h="16838"/>
      <w:pgMar w:top="1440" w:right="1797" w:bottom="1134" w:left="179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D5418"/>
    <w:rsid w:val="1A9D5418"/>
    <w:rsid w:val="F5FB6467"/>
    <w:rsid w:val="FBEE7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2019-09-27T16:56:00Z</dcterms:created>
  <dc:creator>李杨</dc:creator>
  <cp:lastModifiedBy>WANGQW</cp:lastModifiedBy>
  <dcterms:modified xsi:type="dcterms:W3CDTF">2022-02-17T15:25:56Z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